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D71BE3" w:rsidRDefault="00CA1200" w:rsidP="006C4E52">
      <w:pPr>
        <w:outlineLvl w:val="3"/>
        <w:rPr>
          <w:rFonts w:ascii="Cambria" w:hAnsi="Cambria"/>
          <w:b/>
          <w:lang w:val="en-US"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68A871A7" w14:textId="7C35F8FD" w:rsidR="00225D8C" w:rsidRPr="00E073DA" w:rsidRDefault="0025327B" w:rsidP="0025327B">
      <w:pPr>
        <w:jc w:val="center"/>
        <w:outlineLvl w:val="3"/>
        <w:rPr>
          <w:rFonts w:ascii="Cambria" w:hAnsi="Cambria"/>
          <w:b/>
          <w:highlight w:val="yellow"/>
        </w:rPr>
      </w:pPr>
      <w:r w:rsidRPr="0025327B">
        <w:rPr>
          <w:rFonts w:ascii="Cambria" w:eastAsia="Calibri" w:hAnsi="Cambria"/>
          <w:b/>
          <w:lang w:eastAsia="en-US"/>
        </w:rPr>
        <w:t>„</w:t>
      </w:r>
      <w:r w:rsidR="003431FD" w:rsidRPr="003431FD">
        <w:rPr>
          <w:rFonts w:ascii="Cambria" w:eastAsia="Calibri" w:hAnsi="Cambria"/>
          <w:b/>
          <w:lang w:eastAsia="en-US"/>
        </w:rPr>
        <w:t>Доставка на скенери за пръстови отпечатъци</w:t>
      </w:r>
      <w:r w:rsidR="00367EBF">
        <w:rPr>
          <w:rFonts w:ascii="Cambria" w:eastAsia="Calibri" w:hAnsi="Cambria"/>
          <w:b/>
          <w:lang w:eastAsia="en-US"/>
        </w:rPr>
        <w:t>“</w:t>
      </w:r>
    </w:p>
    <w:p w14:paraId="211CF60D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7D22F4C0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C85513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</w:t>
      </w:r>
      <w:r w:rsidR="00AA6C60" w:rsidRPr="0025327B">
        <w:rPr>
          <w:rFonts w:ascii="Cambria" w:hAnsi="Cambria"/>
        </w:rPr>
        <w:t xml:space="preserve">чл. 3, ал. 1, т. </w:t>
      </w:r>
      <w:r w:rsidR="007B6489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14:paraId="0BAC1AD6" w14:textId="16B8D20A" w:rsidR="00DD3AE8" w:rsidRDefault="009C549B" w:rsidP="00D71BE3">
      <w:pPr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  <w:r w:rsidR="00A404F9" w:rsidRPr="00E073DA">
        <w:rPr>
          <w:rFonts w:ascii="Cambria" w:hAnsi="Cambria"/>
          <w:bCs/>
        </w:rPr>
        <w:t>Предмет на н</w:t>
      </w:r>
      <w:r w:rsidR="00FF402C" w:rsidRPr="00E073DA">
        <w:rPr>
          <w:rFonts w:ascii="Cambria" w:hAnsi="Cambria"/>
          <w:bCs/>
        </w:rPr>
        <w:t>астоящат</w:t>
      </w:r>
      <w:r w:rsidR="002A0DA4">
        <w:rPr>
          <w:rFonts w:ascii="Cambria" w:hAnsi="Cambria"/>
          <w:bCs/>
        </w:rPr>
        <w:t xml:space="preserve">а обществена поръчка </w:t>
      </w:r>
      <w:r w:rsidR="00030D8D">
        <w:rPr>
          <w:rFonts w:ascii="Cambria" w:hAnsi="Cambria"/>
          <w:bCs/>
        </w:rPr>
        <w:t>включва</w:t>
      </w:r>
      <w:r w:rsidR="002A0DA4">
        <w:rPr>
          <w:rFonts w:ascii="Cambria" w:hAnsi="Cambria"/>
          <w:bCs/>
        </w:rPr>
        <w:t>:</w:t>
      </w:r>
      <w:r w:rsidR="00030D8D" w:rsidRPr="00030D8D">
        <w:rPr>
          <w:sz w:val="28"/>
          <w:szCs w:val="28"/>
        </w:rPr>
        <w:t xml:space="preserve"> </w:t>
      </w:r>
      <w:r w:rsidR="00DD3AE8" w:rsidRPr="00DD3AE8">
        <w:rPr>
          <w:rFonts w:ascii="Cambria" w:hAnsi="Cambria"/>
          <w:bCs/>
        </w:rPr>
        <w:t>Доставка на 2</w:t>
      </w:r>
      <w:r w:rsidR="00DD3AE8" w:rsidRPr="00DD3AE8">
        <w:rPr>
          <w:rFonts w:ascii="Cambria" w:hAnsi="Cambria"/>
          <w:bCs/>
          <w:lang w:val="en-US"/>
        </w:rPr>
        <w:t>4</w:t>
      </w:r>
      <w:r w:rsidR="00DD3AE8" w:rsidRPr="00DD3AE8">
        <w:rPr>
          <w:rFonts w:ascii="Cambria" w:hAnsi="Cambria"/>
          <w:bCs/>
        </w:rPr>
        <w:t xml:space="preserve"> броя скенери за пръстови отпечатъци за окомплектоване с мобилни биометрични гишета</w:t>
      </w:r>
      <w:r w:rsidR="00DD3AE8">
        <w:rPr>
          <w:rFonts w:ascii="Cambria" w:hAnsi="Cambria"/>
          <w:bCs/>
        </w:rPr>
        <w:t>.</w:t>
      </w:r>
      <w:r w:rsidR="00DD3AE8" w:rsidRPr="00DD3AE8">
        <w:t xml:space="preserve"> </w:t>
      </w:r>
      <w:r w:rsidR="00ED3858" w:rsidRPr="00ED3858">
        <w:rPr>
          <w:rFonts w:ascii="Cambria" w:hAnsi="Cambria"/>
          <w:bCs/>
        </w:rPr>
        <w:t xml:space="preserve">Доставка на скенери за пръстови отпечатъци от модел </w:t>
      </w:r>
      <w:proofErr w:type="spellStart"/>
      <w:r w:rsidR="00ED3858" w:rsidRPr="00ED3858">
        <w:rPr>
          <w:rFonts w:ascii="Cambria" w:hAnsi="Cambria"/>
          <w:bCs/>
        </w:rPr>
        <w:t>Morpho</w:t>
      </w:r>
      <w:proofErr w:type="spellEnd"/>
      <w:r w:rsidR="00ED3858" w:rsidRPr="00ED3858">
        <w:rPr>
          <w:rFonts w:ascii="Cambria" w:hAnsi="Cambria"/>
          <w:bCs/>
        </w:rPr>
        <w:t xml:space="preserve"> </w:t>
      </w:r>
      <w:proofErr w:type="spellStart"/>
      <w:r w:rsidR="00ED3858" w:rsidRPr="00ED3858">
        <w:rPr>
          <w:rFonts w:ascii="Cambria" w:hAnsi="Cambria"/>
          <w:bCs/>
        </w:rPr>
        <w:t>Top</w:t>
      </w:r>
      <w:proofErr w:type="spellEnd"/>
      <w:r w:rsidR="00ED3858" w:rsidRPr="00ED3858">
        <w:rPr>
          <w:rFonts w:ascii="Cambria" w:hAnsi="Cambria"/>
          <w:bCs/>
        </w:rPr>
        <w:t xml:space="preserve"> 100 R или съвместими, които работят без проблеми с SDK версия </w:t>
      </w:r>
      <w:proofErr w:type="spellStart"/>
      <w:r w:rsidR="00ED3858" w:rsidRPr="00ED3858">
        <w:rPr>
          <w:rFonts w:ascii="Cambria" w:hAnsi="Cambria"/>
          <w:bCs/>
        </w:rPr>
        <w:t>MorphoBop</w:t>
      </w:r>
      <w:proofErr w:type="spellEnd"/>
      <w:r w:rsidR="00ED3858" w:rsidRPr="00ED3858">
        <w:rPr>
          <w:rFonts w:ascii="Cambria" w:hAnsi="Cambria"/>
          <w:bCs/>
        </w:rPr>
        <w:t xml:space="preserve"> 2.22.0 и драйверите на morphotop-usb-drivers-win-x64-4.1.0.0, или </w:t>
      </w:r>
      <w:proofErr w:type="spellStart"/>
      <w:r w:rsidR="00ED3858" w:rsidRPr="00ED3858">
        <w:rPr>
          <w:rFonts w:ascii="Cambria" w:hAnsi="Cambria"/>
          <w:bCs/>
        </w:rPr>
        <w:t>Cross</w:t>
      </w:r>
      <w:proofErr w:type="spellEnd"/>
      <w:r w:rsidR="00ED3858" w:rsidRPr="00ED3858">
        <w:rPr>
          <w:rFonts w:ascii="Cambria" w:hAnsi="Cambria"/>
          <w:bCs/>
        </w:rPr>
        <w:t xml:space="preserve"> </w:t>
      </w:r>
      <w:proofErr w:type="spellStart"/>
      <w:r w:rsidR="00ED3858" w:rsidRPr="00ED3858">
        <w:rPr>
          <w:rFonts w:ascii="Cambria" w:hAnsi="Cambria"/>
          <w:bCs/>
        </w:rPr>
        <w:t>Match</w:t>
      </w:r>
      <w:proofErr w:type="spellEnd"/>
      <w:r w:rsidR="00ED3858" w:rsidRPr="00ED3858">
        <w:rPr>
          <w:rFonts w:ascii="Cambria" w:hAnsi="Cambria"/>
          <w:bCs/>
        </w:rPr>
        <w:t xml:space="preserve"> Guardian USB или съвместими.</w:t>
      </w:r>
    </w:p>
    <w:p w14:paraId="4B5E9144" w14:textId="77777777" w:rsidR="00ED3858" w:rsidRPr="002A0DA4" w:rsidRDefault="00ED3858" w:rsidP="00D71BE3">
      <w:pPr>
        <w:ind w:firstLine="567"/>
        <w:jc w:val="both"/>
        <w:rPr>
          <w:rFonts w:ascii="Cambria" w:hAnsi="Cambria"/>
          <w:bCs/>
        </w:rPr>
      </w:pPr>
    </w:p>
    <w:p w14:paraId="05369FAD" w14:textId="77777777"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 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14:paraId="1B986B0B" w14:textId="7846F413"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02DD491C" w14:textId="54E640E8" w:rsidR="00923FC2" w:rsidRPr="00DA3E48" w:rsidRDefault="009C549B" w:rsidP="00DA3E4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 xml:space="preserve">и място за изпълнение на </w:t>
      </w:r>
      <w:r w:rsidR="00E06DC1">
        <w:rPr>
          <w:rFonts w:ascii="Cambria" w:hAnsi="Cambria"/>
          <w:b/>
        </w:rPr>
        <w:t>поръчката</w:t>
      </w:r>
    </w:p>
    <w:p w14:paraId="445AAD80" w14:textId="77777777" w:rsidR="003431FD" w:rsidRPr="003431FD" w:rsidRDefault="00030D8D" w:rsidP="00030D8D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4.1.</w:t>
      </w:r>
      <w:r w:rsidR="00923FC2" w:rsidRPr="00E073DA">
        <w:rPr>
          <w:rFonts w:ascii="Cambria" w:hAnsi="Cambria"/>
        </w:rPr>
        <w:t>Срокът за изпълнение на</w:t>
      </w:r>
      <w:r w:rsidR="004D7302">
        <w:rPr>
          <w:rFonts w:ascii="Cambria" w:hAnsi="Cambria"/>
        </w:rPr>
        <w:t xml:space="preserve"> поръчката е </w:t>
      </w:r>
      <w:r w:rsidR="003431FD" w:rsidRPr="003431FD">
        <w:rPr>
          <w:rFonts w:ascii="Cambria" w:hAnsi="Cambria"/>
        </w:rPr>
        <w:t xml:space="preserve">До 25 работни дни от сключване на договора </w:t>
      </w:r>
    </w:p>
    <w:p w14:paraId="115C8170" w14:textId="32AA263F" w:rsidR="00030D8D" w:rsidRDefault="00030D8D" w:rsidP="00030D8D">
      <w:pPr>
        <w:ind w:firstLine="567"/>
        <w:jc w:val="both"/>
        <w:rPr>
          <w:rFonts w:ascii="Cambria" w:hAnsi="Cambria"/>
        </w:rPr>
      </w:pPr>
      <w:r w:rsidRPr="003431FD">
        <w:rPr>
          <w:rFonts w:ascii="Cambria" w:hAnsi="Cambria"/>
        </w:rPr>
        <w:t xml:space="preserve">4.2. </w:t>
      </w:r>
      <w:r w:rsidR="00923FC2" w:rsidRPr="003431FD">
        <w:rPr>
          <w:rFonts w:ascii="Cambria" w:hAnsi="Cambria"/>
        </w:rPr>
        <w:t xml:space="preserve">Мястото на изпълнение на </w:t>
      </w:r>
      <w:r w:rsidRPr="003431FD">
        <w:rPr>
          <w:rFonts w:ascii="Cambria" w:hAnsi="Cambria"/>
        </w:rPr>
        <w:t xml:space="preserve">услугата е </w:t>
      </w:r>
      <w:r w:rsidR="006A38D8" w:rsidRPr="003431FD">
        <w:rPr>
          <w:rFonts w:ascii="Cambria" w:hAnsi="Cambria"/>
        </w:rPr>
        <w:t xml:space="preserve">: </w:t>
      </w:r>
      <w:r w:rsidR="00CB5FB3" w:rsidRPr="003431FD">
        <w:rPr>
          <w:rFonts w:ascii="Cambria" w:hAnsi="Cambria"/>
        </w:rPr>
        <w:t xml:space="preserve">гр. София, </w:t>
      </w:r>
      <w:proofErr w:type="spellStart"/>
      <w:r w:rsidRPr="003431FD">
        <w:rPr>
          <w:rFonts w:ascii="Cambria" w:hAnsi="Cambria"/>
        </w:rPr>
        <w:t>ул</w:t>
      </w:r>
      <w:proofErr w:type="spellEnd"/>
      <w:r w:rsidRPr="003431FD">
        <w:rPr>
          <w:rFonts w:ascii="Cambria" w:hAnsi="Cambria"/>
        </w:rPr>
        <w:t>.”Александър Жендов</w:t>
      </w:r>
      <w:r w:rsidRPr="00030D8D">
        <w:rPr>
          <w:rFonts w:ascii="Cambria" w:hAnsi="Cambria"/>
        </w:rPr>
        <w:t xml:space="preserve"> ” № 2, </w:t>
      </w:r>
    </w:p>
    <w:p w14:paraId="448A1907" w14:textId="3205092E" w:rsidR="0024062B" w:rsidRPr="00030D8D" w:rsidRDefault="0024062B" w:rsidP="00030D8D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4.3. Гаранционен срок на устройствата – всички доставени устройства трябва да бъдат с минимум 12 месеца гаранция или по-дълъг, съгласно срокът даден от производителя на изделията.</w:t>
      </w:r>
    </w:p>
    <w:p w14:paraId="71E09243" w14:textId="2AABDA19" w:rsidR="00923FC2" w:rsidRPr="00E073DA" w:rsidRDefault="00923FC2" w:rsidP="00030D8D">
      <w:pPr>
        <w:jc w:val="both"/>
        <w:outlineLvl w:val="2"/>
        <w:rPr>
          <w:rFonts w:ascii="Cambria" w:hAnsi="Cambria"/>
          <w:highlight w:val="yellow"/>
        </w:rPr>
      </w:pPr>
    </w:p>
    <w:p w14:paraId="4F57FB97" w14:textId="16362BC3"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4D7302" w:rsidRPr="004D7302">
        <w:rPr>
          <w:rFonts w:ascii="Cambria" w:hAnsi="Cambria"/>
        </w:rPr>
        <w:t xml:space="preserve">до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9" w:name="_Toc383788140"/>
      <w:bookmarkStart w:id="10" w:name="_Toc411333404"/>
    </w:p>
    <w:p w14:paraId="37CBBABA" w14:textId="1EA26432" w:rsidR="00923FC2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3431FD" w:rsidRPr="003431FD">
        <w:rPr>
          <w:rFonts w:ascii="Cambria" w:hAnsi="Cambria"/>
          <w:b/>
          <w:i/>
        </w:rPr>
        <w:t xml:space="preserve"> 57 930 лева без ДДС</w:t>
      </w:r>
      <w:r w:rsidR="003431FD">
        <w:rPr>
          <w:rFonts w:ascii="Cambria" w:hAnsi="Cambria"/>
          <w:b/>
          <w:i/>
        </w:rPr>
        <w:t xml:space="preserve"> (петдесет и седем хиляди деветстотин и тридесет лева) .</w:t>
      </w:r>
      <w:r w:rsidR="00030D8D">
        <w:rPr>
          <w:rFonts w:ascii="Cambria" w:hAnsi="Cambria"/>
          <w:b/>
          <w:i/>
        </w:rPr>
        <w:t>:</w:t>
      </w:r>
    </w:p>
    <w:p w14:paraId="71E7A526" w14:textId="524236F0" w:rsidR="00B86CBA" w:rsidRDefault="00B86CBA" w:rsidP="00340966">
      <w:pPr>
        <w:jc w:val="both"/>
        <w:outlineLvl w:val="2"/>
        <w:rPr>
          <w:rFonts w:ascii="Cambria" w:hAnsi="Cambria"/>
          <w:b/>
          <w:i/>
        </w:rPr>
      </w:pPr>
    </w:p>
    <w:p w14:paraId="1DC73B74" w14:textId="3B4EB2BE" w:rsidR="00C47F19" w:rsidRPr="00E073DA" w:rsidRDefault="00923FC2" w:rsidP="00B86CBA">
      <w:pPr>
        <w:ind w:firstLine="567"/>
        <w:jc w:val="both"/>
        <w:outlineLvl w:val="2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 xml:space="preserve">Средствата за изпълнение на поръчката се осигуряват от собствени бюджетни средства на </w:t>
      </w:r>
      <w:r w:rsidR="00340966">
        <w:rPr>
          <w:rFonts w:ascii="Cambria" w:eastAsia="Calibri" w:hAnsi="Cambria"/>
          <w:b/>
          <w:lang w:eastAsia="en-US"/>
        </w:rPr>
        <w:t>Министерството на външните работи на Република България.</w:t>
      </w:r>
    </w:p>
    <w:p w14:paraId="7F40885C" w14:textId="77777777"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73080175" w14:textId="59A5E5E9" w:rsidR="00A7406B" w:rsidRPr="00C63B53" w:rsidRDefault="00923FC2" w:rsidP="00C63B53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2CB052AB" w14:textId="570C506A" w:rsidR="00030D8D" w:rsidRPr="00030D8D" w:rsidRDefault="00542F73" w:rsidP="00030D8D">
      <w:pPr>
        <w:widowControl w:val="0"/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8.1. </w:t>
      </w:r>
      <w:r w:rsidR="00030D8D">
        <w:rPr>
          <w:rFonts w:ascii="Cambria" w:hAnsi="Cambria"/>
          <w:bCs/>
        </w:rPr>
        <w:t>З</w:t>
      </w:r>
      <w:r w:rsidR="003431FD">
        <w:rPr>
          <w:rFonts w:ascii="Cambria" w:hAnsi="Cambria"/>
          <w:bCs/>
        </w:rPr>
        <w:t>аплащането на стойността на доставката</w:t>
      </w:r>
      <w:r w:rsidR="00030D8D" w:rsidRPr="00030D8D">
        <w:rPr>
          <w:rFonts w:ascii="Cambria" w:hAnsi="Cambria"/>
          <w:bCs/>
        </w:rPr>
        <w:t xml:space="preserve"> се извършва </w:t>
      </w:r>
      <w:r w:rsidR="00030D8D">
        <w:rPr>
          <w:rFonts w:ascii="Cambria" w:hAnsi="Cambria"/>
          <w:bCs/>
        </w:rPr>
        <w:t xml:space="preserve">от страна на Възложителя </w:t>
      </w:r>
      <w:r w:rsidR="00030D8D" w:rsidRPr="00030D8D">
        <w:rPr>
          <w:rFonts w:ascii="Cambria" w:hAnsi="Cambria"/>
          <w:bCs/>
        </w:rPr>
        <w:t>срещу предоставяне на оригинална фактура и двустранно подписан приемо-предавателен протокол</w:t>
      </w:r>
      <w:r w:rsidR="003431FD">
        <w:rPr>
          <w:rFonts w:ascii="Cambria" w:hAnsi="Cambria"/>
          <w:bCs/>
        </w:rPr>
        <w:t xml:space="preserve"> без забележки</w:t>
      </w:r>
      <w:r w:rsidR="00030D8D">
        <w:rPr>
          <w:rFonts w:ascii="Cambria" w:hAnsi="Cambria"/>
          <w:bCs/>
        </w:rPr>
        <w:t xml:space="preserve"> </w:t>
      </w:r>
      <w:r w:rsidR="00030D8D" w:rsidRPr="00030D8D">
        <w:rPr>
          <w:rFonts w:ascii="Cambria" w:hAnsi="Cambria"/>
          <w:bCs/>
        </w:rPr>
        <w:t>.</w:t>
      </w:r>
    </w:p>
    <w:p w14:paraId="1D557E80" w14:textId="66CC888D" w:rsidR="00030D8D" w:rsidRPr="00030D8D" w:rsidRDefault="00542F73" w:rsidP="00542F73">
      <w:pPr>
        <w:widowControl w:val="0"/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8.2. </w:t>
      </w:r>
      <w:r w:rsidR="00030D8D">
        <w:rPr>
          <w:rFonts w:ascii="Cambria" w:hAnsi="Cambria"/>
          <w:bCs/>
        </w:rPr>
        <w:t>Зап</w:t>
      </w:r>
      <w:r w:rsidR="003431FD">
        <w:rPr>
          <w:rFonts w:ascii="Cambria" w:hAnsi="Cambria"/>
          <w:bCs/>
        </w:rPr>
        <w:t xml:space="preserve">лащането на ремонтните дейности, които не се покриват от гаранцията на производителя на изделията </w:t>
      </w:r>
      <w:r w:rsidR="00030D8D">
        <w:rPr>
          <w:rFonts w:ascii="Cambria" w:hAnsi="Cambria"/>
          <w:bCs/>
        </w:rPr>
        <w:t>се извършва</w:t>
      </w:r>
      <w:r w:rsidR="006F5165">
        <w:rPr>
          <w:rFonts w:ascii="Cambria" w:hAnsi="Cambria"/>
          <w:bCs/>
          <w:lang w:val="en-US"/>
        </w:rPr>
        <w:t xml:space="preserve"> и </w:t>
      </w:r>
      <w:r w:rsidR="00030D8D">
        <w:rPr>
          <w:rFonts w:ascii="Cambria" w:hAnsi="Cambria"/>
          <w:bCs/>
        </w:rPr>
        <w:t>с</w:t>
      </w:r>
      <w:r w:rsidR="00030D8D" w:rsidRPr="00030D8D">
        <w:rPr>
          <w:rFonts w:ascii="Cambria" w:hAnsi="Cambria"/>
          <w:bCs/>
        </w:rPr>
        <w:t xml:space="preserve">лед </w:t>
      </w:r>
      <w:r w:rsidR="006F5165">
        <w:rPr>
          <w:rFonts w:ascii="Cambria" w:hAnsi="Cambria"/>
          <w:bCs/>
        </w:rPr>
        <w:t xml:space="preserve">изрично одобрения от страна на Възложителя </w:t>
      </w:r>
      <w:r w:rsidR="00030D8D" w:rsidRPr="00030D8D">
        <w:rPr>
          <w:rFonts w:ascii="Cambria" w:hAnsi="Cambria"/>
          <w:bCs/>
        </w:rPr>
        <w:t xml:space="preserve">представяне на оригинална фактура, придружена от  двустранно подписан </w:t>
      </w:r>
      <w:proofErr w:type="spellStart"/>
      <w:r w:rsidR="00030D8D" w:rsidRPr="00030D8D">
        <w:rPr>
          <w:rFonts w:ascii="Cambria" w:hAnsi="Cambria"/>
          <w:bCs/>
        </w:rPr>
        <w:t>приемо</w:t>
      </w:r>
      <w:proofErr w:type="spellEnd"/>
      <w:r w:rsidR="00030D8D" w:rsidRPr="00030D8D">
        <w:rPr>
          <w:rFonts w:ascii="Cambria" w:hAnsi="Cambria"/>
          <w:bCs/>
        </w:rPr>
        <w:t xml:space="preserve"> - предавателен протокол за извършения ремонт, съдържащ описание на ремонта и вида и количеството на вложените резервни части, материали и консуматив</w:t>
      </w:r>
      <w:r>
        <w:rPr>
          <w:rFonts w:ascii="Cambria" w:hAnsi="Cambria"/>
          <w:bCs/>
        </w:rPr>
        <w:t>и</w:t>
      </w:r>
      <w:r w:rsidR="00EE161C">
        <w:rPr>
          <w:rFonts w:ascii="Cambria" w:hAnsi="Cambria"/>
          <w:bCs/>
        </w:rPr>
        <w:t xml:space="preserve"> и труд</w:t>
      </w:r>
      <w:r>
        <w:rPr>
          <w:rFonts w:ascii="Cambria" w:hAnsi="Cambria"/>
          <w:bCs/>
        </w:rPr>
        <w:t>;</w:t>
      </w:r>
      <w:r w:rsidR="002D4B4E">
        <w:rPr>
          <w:rFonts w:ascii="Cambria" w:hAnsi="Cambria"/>
          <w:bCs/>
        </w:rPr>
        <w:t xml:space="preserve"> Всички вложени части трябва да бъдат </w:t>
      </w:r>
      <w:proofErr w:type="spellStart"/>
      <w:r w:rsidR="002D4B4E">
        <w:rPr>
          <w:rFonts w:ascii="Cambria" w:hAnsi="Cambria"/>
          <w:bCs/>
        </w:rPr>
        <w:lastRenderedPageBreak/>
        <w:t>оргинални</w:t>
      </w:r>
      <w:proofErr w:type="spellEnd"/>
      <w:r w:rsidR="002D4B4E">
        <w:rPr>
          <w:rFonts w:ascii="Cambria" w:hAnsi="Cambria"/>
          <w:bCs/>
        </w:rPr>
        <w:t>.</w:t>
      </w:r>
    </w:p>
    <w:p w14:paraId="77863649" w14:textId="7ECFC8E4" w:rsidR="0006455E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14:paraId="53BE3672" w14:textId="5D62558E" w:rsidR="00E90F4F" w:rsidRPr="00340966" w:rsidRDefault="00064AFB" w:rsidP="001A061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E90F4F" w:rsidRPr="00340966">
        <w:rPr>
          <w:rFonts w:ascii="Cambria" w:hAnsi="Cambria"/>
          <w:b/>
        </w:rPr>
        <w:t xml:space="preserve">. Срок за реакция </w:t>
      </w:r>
    </w:p>
    <w:p w14:paraId="692D7458" w14:textId="56E76DA1" w:rsidR="00367EBF" w:rsidRPr="00340966" w:rsidRDefault="00542F73" w:rsidP="002D4B4E">
      <w:pPr>
        <w:ind w:firstLine="567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 xml:space="preserve">ИЗПЪЛНИТЕЛЯТ </w:t>
      </w:r>
      <w:r w:rsidRPr="00340966">
        <w:rPr>
          <w:rFonts w:ascii="Cambria" w:hAnsi="Cambria"/>
        </w:rPr>
        <w:t>да изпраща специалисти за отстраняване на появилите се повреди на</w:t>
      </w:r>
      <w:r w:rsidR="003431FD">
        <w:rPr>
          <w:rFonts w:ascii="Cambria" w:hAnsi="Cambria"/>
        </w:rPr>
        <w:t xml:space="preserve"> доставените скенери</w:t>
      </w:r>
      <w:r w:rsidRPr="00340966">
        <w:rPr>
          <w:rFonts w:ascii="Cambria" w:hAnsi="Cambria"/>
        </w:rPr>
        <w:t>:</w:t>
      </w:r>
    </w:p>
    <w:p w14:paraId="3012055C" w14:textId="5CA33485" w:rsidR="00542F73" w:rsidRPr="00340966" w:rsidRDefault="00542F73" w:rsidP="00340966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ИЗПЪЛНИТЕЛЯТ</w:t>
      </w:r>
      <w:r w:rsidRPr="00340966">
        <w:rPr>
          <w:rFonts w:ascii="Cambria" w:hAnsi="Cambria"/>
        </w:rPr>
        <w:t xml:space="preserve"> да се отзовава на повикване на </w:t>
      </w:r>
      <w:r w:rsidRPr="00340966">
        <w:rPr>
          <w:rFonts w:ascii="Cambria" w:hAnsi="Cambria"/>
          <w:b/>
        </w:rPr>
        <w:t>ВЪЗЛОЖИТЕЛЯ</w:t>
      </w:r>
      <w:r w:rsidRPr="00340966">
        <w:rPr>
          <w:rFonts w:ascii="Cambria" w:hAnsi="Cambria"/>
        </w:rPr>
        <w:t xml:space="preserve"> при спешна необходимост от възс</w:t>
      </w:r>
      <w:r w:rsidR="006148E8">
        <w:rPr>
          <w:rFonts w:ascii="Cambria" w:hAnsi="Cambria"/>
        </w:rPr>
        <w:t>тановяване на работата на даден</w:t>
      </w:r>
      <w:r w:rsidRPr="00340966">
        <w:rPr>
          <w:rFonts w:ascii="Cambria" w:hAnsi="Cambria"/>
        </w:rPr>
        <w:t xml:space="preserve"> </w:t>
      </w:r>
      <w:r w:rsidR="006148E8">
        <w:rPr>
          <w:rFonts w:ascii="Cambria" w:hAnsi="Cambria"/>
        </w:rPr>
        <w:t>скенер</w:t>
      </w:r>
      <w:r w:rsidRPr="00340966">
        <w:rPr>
          <w:rFonts w:ascii="Cambria" w:hAnsi="Cambria"/>
        </w:rPr>
        <w:t xml:space="preserve"> до 2 (два) часа в рамките на работното време от 9.00 до 17.30 часа;</w:t>
      </w:r>
    </w:p>
    <w:p w14:paraId="04EB7A98" w14:textId="496B4105" w:rsidR="00367EBF" w:rsidRPr="00340966" w:rsidRDefault="00542F73" w:rsidP="0024062B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Време за реакция</w:t>
      </w:r>
      <w:r w:rsidRPr="00340966">
        <w:rPr>
          <w:rFonts w:ascii="Cambria" w:hAnsi="Cambria"/>
        </w:rPr>
        <w:t xml:space="preserve"> /изкл. т.</w:t>
      </w:r>
      <w:r w:rsidR="00064AFB">
        <w:rPr>
          <w:rFonts w:ascii="Cambria" w:hAnsi="Cambria"/>
        </w:rPr>
        <w:t>9</w:t>
      </w:r>
      <w:r w:rsidRPr="00340966">
        <w:rPr>
          <w:rFonts w:ascii="Cambria" w:hAnsi="Cambria"/>
        </w:rPr>
        <w:t>.</w:t>
      </w:r>
      <w:r w:rsidR="00D71BE3">
        <w:rPr>
          <w:rFonts w:ascii="Cambria" w:hAnsi="Cambria"/>
        </w:rPr>
        <w:t>1</w:t>
      </w:r>
      <w:r w:rsidRPr="00340966">
        <w:rPr>
          <w:rFonts w:ascii="Cambria" w:hAnsi="Cambria"/>
        </w:rPr>
        <w:t xml:space="preserve"> и т. </w:t>
      </w:r>
      <w:r w:rsidR="00064AFB">
        <w:rPr>
          <w:rFonts w:ascii="Cambria" w:hAnsi="Cambria"/>
        </w:rPr>
        <w:t>9</w:t>
      </w:r>
      <w:r w:rsidRPr="00340966">
        <w:rPr>
          <w:rFonts w:ascii="Cambria" w:hAnsi="Cambria"/>
        </w:rPr>
        <w:t>.</w:t>
      </w:r>
      <w:r w:rsidR="00D71BE3">
        <w:rPr>
          <w:rFonts w:ascii="Cambria" w:hAnsi="Cambria"/>
        </w:rPr>
        <w:t>2</w:t>
      </w:r>
      <w:r w:rsidRPr="00340966">
        <w:rPr>
          <w:rFonts w:ascii="Cambria" w:hAnsi="Cambria"/>
        </w:rPr>
        <w:t>./ при възникване на повреда до 4 /четири/ часа след получаването на сигнала до 12.00 часа в работно време. След получаването на сигнала от клиента след 12.00 часа в работното време – време за реакция до 24 /двадесет и четири/ часа.</w:t>
      </w:r>
    </w:p>
    <w:p w14:paraId="0E2DE05C" w14:textId="7E9E6CCB" w:rsidR="00542F73" w:rsidRPr="00340966" w:rsidRDefault="00542F73" w:rsidP="00542F73">
      <w:pPr>
        <w:ind w:firstLine="420"/>
        <w:jc w:val="both"/>
        <w:rPr>
          <w:rFonts w:ascii="Cambria" w:hAnsi="Cambria"/>
        </w:rPr>
      </w:pPr>
      <w:r w:rsidRPr="00340966">
        <w:rPr>
          <w:rFonts w:ascii="Cambria" w:hAnsi="Cambria"/>
          <w:b/>
        </w:rPr>
        <w:t>ИЗПЪЛНИТЕЛЯТ</w:t>
      </w:r>
      <w:r w:rsidRPr="00340966">
        <w:rPr>
          <w:rFonts w:ascii="Cambria" w:hAnsi="Cambria"/>
        </w:rPr>
        <w:t xml:space="preserve"> извършва ремонта, който включва отстраняване на възникнали повреди от всякакъв характер, констатирани при техническото поддържане или по сигнал на </w:t>
      </w:r>
      <w:r w:rsidRPr="00340966">
        <w:rPr>
          <w:rFonts w:ascii="Cambria" w:hAnsi="Cambria"/>
          <w:b/>
        </w:rPr>
        <w:t>ВЪЗЛОЖИТЕЛЯ,</w:t>
      </w:r>
      <w:r w:rsidRPr="00340966">
        <w:rPr>
          <w:rFonts w:ascii="Cambria" w:hAnsi="Cambria"/>
        </w:rPr>
        <w:t xml:space="preserve"> като вложените за това резервни части, материали и консумативи са за сметка на </w:t>
      </w:r>
      <w:r w:rsidR="003431FD">
        <w:rPr>
          <w:rFonts w:ascii="Cambria" w:hAnsi="Cambria"/>
          <w:b/>
        </w:rPr>
        <w:t>ИЗПЪЛНИТЕЛЯ</w:t>
      </w:r>
      <w:r w:rsidRPr="00340966">
        <w:rPr>
          <w:rFonts w:ascii="Cambria" w:hAnsi="Cambria"/>
        </w:rPr>
        <w:t xml:space="preserve">. Изборът на резервни части, материали и консумативи да става след съгласуване с </w:t>
      </w:r>
      <w:r w:rsidRPr="00340966">
        <w:rPr>
          <w:rFonts w:ascii="Cambria" w:hAnsi="Cambria"/>
          <w:b/>
        </w:rPr>
        <w:t>ВЪЗЛОЖИТЕЛЯ</w:t>
      </w:r>
      <w:r w:rsidRPr="00340966">
        <w:rPr>
          <w:rFonts w:ascii="Cambria" w:hAnsi="Cambria"/>
        </w:rPr>
        <w:t xml:space="preserve">, като това не освобождава </w:t>
      </w:r>
      <w:r w:rsidRPr="00340966">
        <w:rPr>
          <w:rFonts w:ascii="Cambria" w:hAnsi="Cambria"/>
          <w:b/>
        </w:rPr>
        <w:t>ИЗПЪЛНИТЕЛЯ</w:t>
      </w:r>
      <w:r w:rsidRPr="00340966">
        <w:rPr>
          <w:rFonts w:ascii="Cambria" w:hAnsi="Cambria"/>
        </w:rPr>
        <w:t xml:space="preserve"> от отговорност за качеството им.</w:t>
      </w:r>
    </w:p>
    <w:p w14:paraId="41DB1A49" w14:textId="07FF7C47" w:rsidR="00FB276A" w:rsidRDefault="00FB276A" w:rsidP="00062553">
      <w:pPr>
        <w:shd w:val="clear" w:color="auto" w:fill="FFFFFF"/>
        <w:tabs>
          <w:tab w:val="left" w:pos="1066"/>
        </w:tabs>
        <w:ind w:right="5"/>
        <w:jc w:val="both"/>
        <w:rPr>
          <w:rFonts w:ascii="Cambria" w:hAnsi="Cambria"/>
          <w:b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7D4065DA" w14:textId="325EF21D" w:rsidR="00C827D7" w:rsidRPr="00E073DA" w:rsidRDefault="00CF20D8" w:rsidP="00C827D7">
      <w:pPr>
        <w:tabs>
          <w:tab w:val="left" w:pos="993"/>
        </w:tabs>
        <w:jc w:val="both"/>
        <w:rPr>
          <w:rFonts w:ascii="Cambria" w:hAnsi="Cambria"/>
          <w:highlight w:val="yellow"/>
        </w:rPr>
      </w:pPr>
      <w:r>
        <w:rPr>
          <w:rFonts w:ascii="Cambria" w:hAnsi="Cambria"/>
        </w:rPr>
        <w:tab/>
      </w:r>
      <w:r w:rsidR="00C827D7" w:rsidRPr="00B2368B">
        <w:rPr>
          <w:rFonts w:ascii="Cambria" w:hAnsi="Cambria"/>
          <w:b/>
        </w:rPr>
        <w:t>1.1</w:t>
      </w:r>
      <w:r w:rsidR="00C827D7" w:rsidRPr="00E073DA">
        <w:rPr>
          <w:rFonts w:ascii="Cambria" w:hAnsi="Cambria"/>
        </w:rPr>
        <w:t>.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</w:p>
    <w:p w14:paraId="2A904AF1" w14:textId="7F7B127B"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2F80F19F"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lastRenderedPageBreak/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66B39B24"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1353A7C5"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63E845CE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>от ЗОП с декларации по образец № 3 и № 4.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 xml:space="preserve">Когато участникът се представлява от </w:t>
      </w:r>
      <w:r w:rsidRPr="00E073DA">
        <w:rPr>
          <w:rFonts w:ascii="Cambria" w:hAnsi="Cambria"/>
          <w:i/>
        </w:rPr>
        <w:lastRenderedPageBreak/>
        <w:t>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7C7F3A5" w14:textId="19A71CAA" w:rsidR="00E366BB" w:rsidRPr="00062553" w:rsidRDefault="00E366BB" w:rsidP="00062553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4CDAE7BE" w14:textId="6FC1787C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1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3D8C7748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2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41D85412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3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66C35A65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4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2FD9EBC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064AFB">
        <w:rPr>
          <w:rFonts w:ascii="Cambria" w:eastAsia="Times New Roman" w:hAnsi="Cambria"/>
          <w:b/>
          <w:bCs/>
          <w:lang w:val="en-US"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6887D1BB" w14:textId="13AAFB55" w:rsidR="00233625" w:rsidRPr="00203682" w:rsidRDefault="00C47F19" w:rsidP="00203682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2A96673B" w14:textId="5C1D990A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005CA880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</w:t>
      </w:r>
      <w:r w:rsidR="00AB0390">
        <w:rPr>
          <w:rFonts w:ascii="Cambria" w:hAnsi="Cambria"/>
          <w:bCs/>
        </w:rPr>
        <w:t>две</w:t>
      </w:r>
      <w:r w:rsidRPr="00E073DA">
        <w:rPr>
          <w:rFonts w:ascii="Cambria" w:hAnsi="Cambria"/>
          <w:bCs/>
        </w:rPr>
        <w:t xml:space="preserve"> </w:t>
      </w:r>
      <w:r w:rsidR="00203682">
        <w:rPr>
          <w:rFonts w:ascii="Cambria" w:hAnsi="Cambria"/>
          <w:bCs/>
        </w:rPr>
        <w:t>доставки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или сходн</w:t>
      </w:r>
      <w:r w:rsidR="00AB0390">
        <w:rPr>
          <w:rFonts w:ascii="Cambria" w:hAnsi="Cambria"/>
          <w:bCs/>
        </w:rPr>
        <w:t>и</w:t>
      </w:r>
      <w:r w:rsidRPr="00E073DA">
        <w:rPr>
          <w:rFonts w:ascii="Cambria" w:hAnsi="Cambria"/>
          <w:bCs/>
        </w:rPr>
        <w:t xml:space="preserve">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05CC2DE4" w14:textId="2809E4DE" w:rsidR="00CF20D8" w:rsidRPr="00884DFA" w:rsidRDefault="00CF20D8" w:rsidP="00884DFA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 w:rsidRPr="00884DFA">
        <w:rPr>
          <w:rFonts w:ascii="Cambria" w:hAnsi="Cambria"/>
          <w:i/>
          <w:iCs/>
        </w:rPr>
        <w:t>Под „</w:t>
      </w:r>
      <w:r w:rsidR="00AB0390" w:rsidRPr="00884DFA">
        <w:rPr>
          <w:rFonts w:ascii="Cambria" w:hAnsi="Cambria"/>
          <w:i/>
          <w:iCs/>
        </w:rPr>
        <w:t>дейност</w:t>
      </w:r>
      <w:r w:rsidR="005C08D1" w:rsidRPr="00884DF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884DFA">
        <w:rPr>
          <w:rFonts w:ascii="Cambria" w:hAnsi="Cambria"/>
          <w:i/>
          <w:iCs/>
        </w:rPr>
        <w:t>,</w:t>
      </w:r>
      <w:r w:rsidR="005C08D1" w:rsidRPr="00884DFA">
        <w:rPr>
          <w:rFonts w:ascii="Cambria" w:hAnsi="Cambria"/>
          <w:i/>
          <w:iCs/>
        </w:rPr>
        <w:t xml:space="preserve"> следва да се разбира: </w:t>
      </w:r>
      <w:r w:rsidR="00884DFA" w:rsidRPr="00884DFA">
        <w:rPr>
          <w:rFonts w:ascii="Cambria" w:hAnsi="Cambria"/>
        </w:rPr>
        <w:t>дейност, свързана с доставката на скенери за пръстови отпечатъци</w:t>
      </w:r>
      <w:r w:rsidR="00D20386" w:rsidRPr="00884DFA">
        <w:rPr>
          <w:rFonts w:ascii="Cambria" w:hAnsi="Cambria"/>
          <w:b/>
          <w:iCs/>
        </w:rPr>
        <w:t>“</w:t>
      </w:r>
    </w:p>
    <w:p w14:paraId="625DA9A1" w14:textId="752815E5" w:rsidR="00C47F19" w:rsidRPr="00E073DA" w:rsidRDefault="00C47F19" w:rsidP="0004052D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D71BE3">
        <w:rPr>
          <w:rFonts w:ascii="Cambria" w:eastAsia="Batang" w:hAnsi="Cambria"/>
        </w:rPr>
        <w:t>услугите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4A1D0172" w14:textId="450AF4E2" w:rsidR="00884DFA" w:rsidRDefault="00884DFA" w:rsidP="00884DFA">
      <w:pPr>
        <w:jc w:val="both"/>
        <w:rPr>
          <w:rFonts w:ascii="Cambria" w:eastAsia="Batang" w:hAnsi="Cambria"/>
        </w:rPr>
      </w:pPr>
    </w:p>
    <w:p w14:paraId="6D7B1BE8" w14:textId="58E4E402" w:rsidR="00884DFA" w:rsidRPr="00884DFA" w:rsidRDefault="00884DFA" w:rsidP="00062553">
      <w:pPr>
        <w:tabs>
          <w:tab w:val="left" w:pos="360"/>
        </w:tabs>
        <w:spacing w:after="240"/>
        <w:contextualSpacing/>
        <w:jc w:val="both"/>
        <w:rPr>
          <w:rFonts w:ascii="Cambria" w:hAnsi="Cambria"/>
          <w:b/>
        </w:rPr>
      </w:pPr>
      <w:r>
        <w:rPr>
          <w:rFonts w:ascii="Cambria" w:eastAsia="Batang" w:hAnsi="Cambria"/>
        </w:rPr>
        <w:tab/>
      </w:r>
      <w:r w:rsidRPr="00062553">
        <w:rPr>
          <w:rFonts w:ascii="Cambria" w:eastAsia="Batang" w:hAnsi="Cambria"/>
          <w:b/>
        </w:rPr>
        <w:t>2</w:t>
      </w:r>
      <w:r>
        <w:rPr>
          <w:rFonts w:ascii="Cambria" w:eastAsia="Batang" w:hAnsi="Cambria"/>
        </w:rPr>
        <w:t>.</w:t>
      </w:r>
      <w:r w:rsidRPr="00884DFA">
        <w:rPr>
          <w:rFonts w:ascii="Cambria" w:eastAsia="Batang" w:hAnsi="Cambria"/>
        </w:rPr>
        <w:t xml:space="preserve">Участниците следва да са </w:t>
      </w:r>
      <w:r w:rsidRPr="00884DFA">
        <w:rPr>
          <w:rStyle w:val="FontStyle154"/>
          <w:rFonts w:ascii="Cambria" w:hAnsi="Cambria"/>
          <w:b w:val="0"/>
          <w:sz w:val="24"/>
          <w:szCs w:val="24"/>
        </w:rPr>
        <w:t>от</w:t>
      </w:r>
      <w:r>
        <w:rPr>
          <w:rStyle w:val="FontStyle154"/>
          <w:rFonts w:ascii="Cambria" w:hAnsi="Cambria"/>
          <w:b w:val="0"/>
          <w:sz w:val="24"/>
          <w:szCs w:val="24"/>
        </w:rPr>
        <w:t>оризирани от</w:t>
      </w:r>
      <w:r w:rsidRPr="00884DFA">
        <w:rPr>
          <w:rStyle w:val="FontStyle154"/>
          <w:rFonts w:ascii="Cambria" w:hAnsi="Cambria"/>
          <w:b w:val="0"/>
          <w:sz w:val="24"/>
          <w:szCs w:val="24"/>
        </w:rPr>
        <w:t xml:space="preserve"> производителя на оборудването за правото на продажба, както и доказателства за наличие на оторизиран сервиз за доставената техника</w:t>
      </w:r>
      <w:r w:rsidRPr="00884DFA">
        <w:rPr>
          <w:rFonts w:ascii="Cambria" w:hAnsi="Cambria"/>
          <w:b/>
        </w:rPr>
        <w:t>.</w:t>
      </w:r>
    </w:p>
    <w:p w14:paraId="008CE58F" w14:textId="500D9AD7" w:rsidR="00884DFA" w:rsidRDefault="00884DFA" w:rsidP="00062553">
      <w:pPr>
        <w:spacing w:after="240"/>
        <w:ind w:firstLine="708"/>
        <w:contextualSpacing/>
        <w:jc w:val="both"/>
      </w:pPr>
      <w:r w:rsidRPr="009B65CF">
        <w:t xml:space="preserve">За доказване на съответствието си с поставения критерий за подбор участникът предоставя оригинал или заверено копие на </w:t>
      </w:r>
      <w:proofErr w:type="spellStart"/>
      <w:r w:rsidRPr="009B65CF">
        <w:t>оторизационното</w:t>
      </w:r>
      <w:proofErr w:type="spellEnd"/>
      <w:r w:rsidRPr="009B65CF">
        <w:t xml:space="preserve"> писмо, както и други документи (копия от договори, сертификати и др.), доказващи съответствието на участникът с изискванията по този критерий.</w:t>
      </w:r>
    </w:p>
    <w:p w14:paraId="34FA16FA" w14:textId="77777777" w:rsidR="00062553" w:rsidRDefault="00062553" w:rsidP="00062553">
      <w:pPr>
        <w:spacing w:after="240"/>
        <w:ind w:firstLine="708"/>
        <w:contextualSpacing/>
        <w:jc w:val="both"/>
      </w:pPr>
    </w:p>
    <w:p w14:paraId="5664ADE8" w14:textId="315725E7" w:rsidR="00884DFA" w:rsidRPr="009B65CF" w:rsidRDefault="00884DFA" w:rsidP="005E351F">
      <w:pPr>
        <w:spacing w:after="240"/>
        <w:ind w:firstLine="708"/>
        <w:jc w:val="both"/>
      </w:pPr>
      <w:r w:rsidRPr="00062553">
        <w:rPr>
          <w:b/>
        </w:rPr>
        <w:t>3</w:t>
      </w:r>
      <w:r>
        <w:t>.</w:t>
      </w:r>
      <w:r w:rsidRPr="00884DFA">
        <w:t xml:space="preserve"> Участникът следва да прилага система за управление на качеството, съответстваща на стандарт БДС ЕN ISO 9001:2015 или еквивалентен с обхват, сходен с предмета на поръчката</w:t>
      </w:r>
      <w:r w:rsidR="00ED601B">
        <w:t>, а именно „</w:t>
      </w:r>
      <w:r w:rsidR="00ED601B" w:rsidRPr="00B34D47">
        <w:rPr>
          <w:i/>
        </w:rPr>
        <w:t>доставка и гаранционна поддръжка на устройства з</w:t>
      </w:r>
      <w:r w:rsidR="008335BA">
        <w:rPr>
          <w:i/>
        </w:rPr>
        <w:t>а пръстови отпечатъ</w:t>
      </w:r>
      <w:r w:rsidR="00ED601B" w:rsidRPr="00B34D47">
        <w:rPr>
          <w:i/>
        </w:rPr>
        <w:t>ци</w:t>
      </w:r>
      <w:r w:rsidR="00ED601B">
        <w:t>“</w:t>
      </w:r>
      <w:r w:rsidRPr="00884DFA">
        <w:t>. Поставеното изискване се доказва с копие на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14:paraId="68E5701D" w14:textId="42DBF007" w:rsidR="00884DFA" w:rsidRDefault="00884DFA" w:rsidP="00884DFA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>При подписване на договора, участникът избран за изпълнител представя списък</w:t>
      </w:r>
      <w:r w:rsidRPr="00E073DA">
        <w:rPr>
          <w:rFonts w:ascii="Cambria" w:eastAsia="Batang" w:hAnsi="Cambria"/>
        </w:rPr>
        <w:t xml:space="preserve"> на </w:t>
      </w:r>
      <w:r>
        <w:rPr>
          <w:rFonts w:ascii="Cambria" w:eastAsia="Batang" w:hAnsi="Cambria"/>
        </w:rPr>
        <w:t>услугите</w:t>
      </w:r>
      <w:r w:rsidRPr="00E073DA">
        <w:rPr>
          <w:rFonts w:ascii="Cambria" w:hAnsi="Cambria"/>
        </w:rPr>
        <w:t xml:space="preserve">, с предмет и обем, идентични или сходни с предмета </w:t>
      </w:r>
      <w:r w:rsidRPr="00E073DA">
        <w:rPr>
          <w:rFonts w:ascii="Cambria" w:hAnsi="Cambria"/>
        </w:rPr>
        <w:lastRenderedPageBreak/>
        <w:t>и обема на обществената поръчка за последните 3 (три) години</w:t>
      </w:r>
      <w:r w:rsidRPr="00E073DA">
        <w:rPr>
          <w:rFonts w:ascii="Cambria" w:eastAsia="Batang" w:hAnsi="Cambria"/>
        </w:rPr>
        <w:t>, считано до датата на подаване на офертата, с посочване на обема, стойностите, датите и получателите, заедно с д</w:t>
      </w:r>
      <w:r>
        <w:rPr>
          <w:rFonts w:ascii="Cambria" w:eastAsia="Batang" w:hAnsi="Cambria"/>
        </w:rPr>
        <w:t>оказателство за изпълнението им, представя документите за оторизация от производителя на изделията и копие на сертификат</w:t>
      </w:r>
      <w:r w:rsidRPr="00884DFA">
        <w:t xml:space="preserve"> </w:t>
      </w:r>
      <w:r w:rsidRPr="00884DFA">
        <w:rPr>
          <w:rFonts w:ascii="Cambria" w:eastAsia="Batang" w:hAnsi="Cambria"/>
        </w:rPr>
        <w:t>ISO 9001:2015 или еквивалентен с обхват, сходен с предмета на поръчката.</w:t>
      </w:r>
    </w:p>
    <w:p w14:paraId="4082EBA8" w14:textId="279D7C46" w:rsidR="00FB276A" w:rsidRDefault="00FB276A" w:rsidP="00405813">
      <w:pPr>
        <w:shd w:val="clear" w:color="auto" w:fill="FFFFFF"/>
        <w:jc w:val="both"/>
        <w:rPr>
          <w:rFonts w:ascii="Cambria" w:hAnsi="Cambria"/>
          <w:i/>
          <w:color w:val="FF0000"/>
          <w:highlight w:val="yellow"/>
          <w:lang w:val="en-US"/>
        </w:rPr>
      </w:pPr>
    </w:p>
    <w:p w14:paraId="5FB550D6" w14:textId="77777777" w:rsidR="00A351C1" w:rsidRPr="00A329E9" w:rsidRDefault="00A351C1" w:rsidP="00405813">
      <w:pPr>
        <w:shd w:val="clear" w:color="auto" w:fill="FFFFFF"/>
        <w:jc w:val="both"/>
        <w:rPr>
          <w:rFonts w:ascii="Cambria" w:hAnsi="Cambria"/>
          <w:i/>
          <w:color w:val="FF0000"/>
          <w:highlight w:val="yellow"/>
          <w:lang w:val="en-US"/>
        </w:rPr>
      </w:pPr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E073DA">
        <w:rPr>
          <w:rFonts w:ascii="Cambria" w:hAnsi="Cambria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3FBD0FF5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09B81C76" w14:textId="31CCF389" w:rsidR="00D95AA2" w:rsidRPr="00D95AA2" w:rsidRDefault="00FF284F" w:rsidP="00B803EE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45F472D9" w:rsidR="00123438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>.2. При подаване на оферта участникът д</w:t>
      </w:r>
      <w:r w:rsidR="00AD6AEA">
        <w:rPr>
          <w:rFonts w:ascii="Cambria" w:eastAsia="Times New Roman" w:hAnsi="Cambria"/>
          <w:spacing w:val="10"/>
          <w:lang w:eastAsia="en-US"/>
        </w:rPr>
        <w:t>екларира съответствие с критерии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>Списък на изпълнените</w:t>
      </w:r>
      <w:r w:rsidR="001B39D6">
        <w:rPr>
          <w:rFonts w:ascii="Cambria" w:eastAsia="Times New Roman" w:hAnsi="Cambria"/>
          <w:spacing w:val="10"/>
          <w:lang w:val="en-US" w:eastAsia="en-US"/>
        </w:rPr>
        <w:t xml:space="preserve"> услуги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B471FB">
        <w:rPr>
          <w:rFonts w:ascii="Cambria" w:hAnsi="Cambria"/>
          <w:spacing w:val="10"/>
          <w:lang w:eastAsia="en-US"/>
        </w:rPr>
        <w:t>4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29FFD65C" w:rsidR="00123438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077F84">
        <w:rPr>
          <w:rFonts w:ascii="Cambria" w:eastAsia="Times New Roman" w:hAnsi="Cambria"/>
          <w:b/>
          <w:lang w:eastAsia="en-US"/>
        </w:rPr>
        <w:t>5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изискванията на </w:t>
      </w:r>
      <w:r w:rsidR="00123438" w:rsidRPr="00E073DA">
        <w:rPr>
          <w:rFonts w:ascii="Cambria" w:eastAsia="Times New Roman" w:hAnsi="Cambria"/>
          <w:bCs/>
          <w:lang w:eastAsia="en-US"/>
        </w:rPr>
        <w:lastRenderedPageBreak/>
        <w:t>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</w:t>
      </w:r>
      <w:r w:rsidR="00223453">
        <w:rPr>
          <w:rFonts w:ascii="Cambria" w:eastAsia="Times New Roman" w:hAnsi="Cambria"/>
          <w:bCs/>
          <w:lang w:eastAsia="en-US"/>
        </w:rPr>
        <w:t xml:space="preserve">ение за изпълнение на поръчката и </w:t>
      </w:r>
      <w:r w:rsidR="00123438" w:rsidRPr="00E073DA">
        <w:rPr>
          <w:rFonts w:ascii="Cambria" w:eastAsia="Times New Roman" w:hAnsi="Cambria"/>
          <w:bCs/>
          <w:lang w:eastAsia="en-US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</w:t>
      </w:r>
      <w:r w:rsidR="00D424AC">
        <w:rPr>
          <w:rFonts w:ascii="Cambria" w:eastAsia="Times New Roman" w:hAnsi="Cambria"/>
          <w:bCs/>
          <w:lang w:eastAsia="en-US"/>
        </w:rPr>
        <w:t xml:space="preserve"> условията на труд и приложения.</w:t>
      </w:r>
    </w:p>
    <w:p w14:paraId="546C72DE" w14:textId="04BC2995" w:rsidR="008F6FB8" w:rsidRPr="00CD4518" w:rsidRDefault="00CD4518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lang w:val="en-US" w:eastAsia="en-US"/>
        </w:rPr>
      </w:pPr>
      <w:r>
        <w:rPr>
          <w:rFonts w:ascii="Cambria" w:eastAsia="Times New Roman" w:hAnsi="Cambria"/>
          <w:lang w:val="en-US" w:eastAsia="en-US"/>
        </w:rPr>
        <w:t xml:space="preserve">       </w:t>
      </w:r>
    </w:p>
    <w:p w14:paraId="5A56FBE7" w14:textId="469E8350" w:rsidR="00123438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4A206522" w14:textId="367630C8" w:rsidR="00CB06BE" w:rsidRPr="00E073DA" w:rsidRDefault="00CB06BE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>
        <w:rPr>
          <w:rFonts w:ascii="Cambria" w:eastAsia="Times New Roman" w:hAnsi="Cambria"/>
          <w:bCs/>
          <w:lang w:eastAsia="en-US"/>
        </w:rPr>
        <w:t xml:space="preserve">2.3.2. Декларация относно обработването на лични </w:t>
      </w:r>
      <w:proofErr w:type="spellStart"/>
      <w:r>
        <w:rPr>
          <w:rFonts w:ascii="Cambria" w:eastAsia="Times New Roman" w:hAnsi="Cambria"/>
          <w:bCs/>
          <w:lang w:eastAsia="en-US"/>
        </w:rPr>
        <w:t>дани</w:t>
      </w:r>
      <w:proofErr w:type="spellEnd"/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6A635513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077F84">
        <w:rPr>
          <w:rFonts w:ascii="Cambria" w:eastAsia="Times New Roman" w:hAnsi="Cambria"/>
          <w:b/>
          <w:i/>
          <w:sz w:val="24"/>
          <w:szCs w:val="24"/>
          <w:lang w:eastAsia="en-US"/>
        </w:rPr>
        <w:t>6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52A0A049" w14:textId="52262822"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</w:t>
      </w:r>
      <w:r w:rsidR="00B46251">
        <w:rPr>
          <w:rFonts w:ascii="Cambria" w:eastAsia="Times New Roman" w:hAnsi="Cambria" w:cstheme="minorBidi"/>
          <w:lang w:eastAsia="en-US"/>
        </w:rPr>
        <w:t>доставката и монтажа</w:t>
      </w:r>
      <w:r w:rsidRPr="00E073DA">
        <w:rPr>
          <w:rFonts w:ascii="Cambria" w:eastAsia="Times New Roman" w:hAnsi="Cambria" w:cstheme="minorBidi"/>
          <w:lang w:eastAsia="en-US"/>
        </w:rPr>
        <w:t xml:space="preserve"> в описания вид и обхват. </w:t>
      </w:r>
    </w:p>
    <w:p w14:paraId="52F28655" w14:textId="06693A52"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14:paraId="5DBDC4E5" w14:textId="7F4A425F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 xml:space="preserve">и 7 от ЗОП (образец № </w:t>
      </w:r>
      <w:r w:rsidR="00AB0C49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01251A6C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Образец № </w:t>
      </w:r>
      <w:r w:rsidR="00AB0C49">
        <w:rPr>
          <w:rFonts w:ascii="Cambria" w:eastAsiaTheme="minorHAnsi" w:hAnsi="Cambria" w:cstheme="minorBidi"/>
          <w:lang w:eastAsia="en-US"/>
        </w:rPr>
        <w:t>3</w:t>
      </w:r>
      <w:r w:rsidR="008D1426" w:rsidRPr="00E073DA">
        <w:rPr>
          <w:rFonts w:ascii="Cambria" w:eastAsiaTheme="minorHAnsi" w:hAnsi="Cambria" w:cstheme="minorBidi"/>
          <w:lang w:eastAsia="en-US"/>
        </w:rPr>
        <w:t>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69B445ED" w14:textId="17F988BE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>.</w:t>
      </w:r>
      <w:r w:rsidR="00E51980">
        <w:rPr>
          <w:rFonts w:ascii="Cambria" w:hAnsi="Cambria"/>
          <w:b/>
        </w:rPr>
        <w:t>7</w:t>
      </w:r>
      <w:r w:rsidR="00123438" w:rsidRPr="00E073DA">
        <w:rPr>
          <w:rFonts w:ascii="Cambria" w:hAnsi="Cambria"/>
          <w:b/>
        </w:rPr>
        <w:t xml:space="preserve">. </w:t>
      </w:r>
      <w:r w:rsidR="00123438" w:rsidRPr="00E073DA">
        <w:rPr>
          <w:rFonts w:ascii="Cambria" w:hAnsi="Cambria"/>
        </w:rPr>
        <w:t xml:space="preserve">Декларация по чл. 66, ал. 1 от Закона за обществените поръчки (Образец № </w:t>
      </w:r>
      <w:r w:rsidR="00AB0C49">
        <w:rPr>
          <w:rFonts w:ascii="Cambria" w:hAnsi="Cambria"/>
        </w:rPr>
        <w:t>7-1</w:t>
      </w:r>
      <w:r w:rsidR="00123438" w:rsidRPr="00E073DA">
        <w:rPr>
          <w:rFonts w:ascii="Cambria" w:hAnsi="Cambria"/>
        </w:rPr>
        <w:t>)</w:t>
      </w:r>
    </w:p>
    <w:p w14:paraId="3F839FE1" w14:textId="501BC369" w:rsidR="00123438" w:rsidRDefault="00DD5989" w:rsidP="00405813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E51980">
        <w:rPr>
          <w:rFonts w:ascii="Cambria" w:hAnsi="Cambria"/>
          <w:b/>
          <w:spacing w:val="10"/>
          <w:lang w:eastAsia="en-US"/>
        </w:rPr>
        <w:t>.8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AB0C49">
        <w:rPr>
          <w:rFonts w:ascii="Cambria" w:hAnsi="Cambria"/>
        </w:rPr>
        <w:t>7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6E289F66" w14:textId="176DB805" w:rsidR="00884DFA" w:rsidRDefault="00DA3E48" w:rsidP="00884DFA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>
        <w:rPr>
          <w:rFonts w:ascii="Cambria" w:hAnsi="Cambria"/>
          <w:b/>
        </w:rPr>
        <w:t>2.9.</w:t>
      </w:r>
      <w:r w:rsidRPr="00DA3E48">
        <w:rPr>
          <w:rFonts w:ascii="Cambria" w:hAnsi="Cambria"/>
          <w:b/>
        </w:rPr>
        <w:t xml:space="preserve"> </w:t>
      </w:r>
      <w:r w:rsidRPr="00DA3E48">
        <w:rPr>
          <w:rFonts w:ascii="Cambria" w:hAnsi="Cambria"/>
        </w:rPr>
        <w:t xml:space="preserve">Списък на </w:t>
      </w:r>
      <w:r w:rsidR="002D4B4E">
        <w:rPr>
          <w:rFonts w:ascii="Cambria" w:hAnsi="Cambria"/>
        </w:rPr>
        <w:t>доставките</w:t>
      </w:r>
      <w:r w:rsidRPr="00DA3E48">
        <w:rPr>
          <w:rFonts w:ascii="Cambria" w:hAnsi="Cambria"/>
        </w:rPr>
        <w:t xml:space="preserve">, който </w:t>
      </w:r>
      <w:r w:rsidR="00922D5A">
        <w:rPr>
          <w:rFonts w:ascii="Cambria" w:hAnsi="Cambria"/>
        </w:rPr>
        <w:t xml:space="preserve">са </w:t>
      </w:r>
      <w:proofErr w:type="spellStart"/>
      <w:r w:rsidR="00922D5A">
        <w:rPr>
          <w:rFonts w:ascii="Cambria" w:hAnsi="Cambria"/>
        </w:rPr>
        <w:t>идентични,сходни</w:t>
      </w:r>
      <w:proofErr w:type="spellEnd"/>
      <w:r w:rsidR="00922D5A">
        <w:rPr>
          <w:rFonts w:ascii="Cambria" w:hAnsi="Cambria"/>
        </w:rPr>
        <w:t xml:space="preserve"> с предмета и обема на</w:t>
      </w:r>
      <w:r w:rsidRPr="00DA3E48">
        <w:rPr>
          <w:rFonts w:ascii="Cambria" w:hAnsi="Cambria"/>
        </w:rPr>
        <w:t xml:space="preserve">  поръчката по чл.64, ал.1, т.6 от ЗОП (</w:t>
      </w:r>
      <w:r w:rsidRPr="00DA3E48">
        <w:t xml:space="preserve"> </w:t>
      </w:r>
      <w:r w:rsidR="00AB0C49">
        <w:rPr>
          <w:rFonts w:ascii="Cambria" w:hAnsi="Cambria"/>
        </w:rPr>
        <w:t>Образец № 4</w:t>
      </w:r>
      <w:r w:rsidRPr="00DA3E48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36DDF642" w14:textId="1EB94F03" w:rsidR="00884DFA" w:rsidRDefault="00884DFA" w:rsidP="00884DFA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 w:rsidRPr="00884DFA">
        <w:rPr>
          <w:rFonts w:ascii="Cambria" w:hAnsi="Cambria"/>
          <w:b/>
        </w:rPr>
        <w:t xml:space="preserve">2.10. </w:t>
      </w:r>
      <w:r w:rsidRPr="00884DFA">
        <w:rPr>
          <w:rFonts w:ascii="Cambria" w:hAnsi="Cambria"/>
        </w:rPr>
        <w:t>Декларация за внедрена система за качество, система за управление сходна с предмета на поръчката</w:t>
      </w:r>
      <w:r w:rsidR="00F76673" w:rsidRPr="00F76673">
        <w:rPr>
          <w:rFonts w:ascii="Cambria" w:hAnsi="Cambria"/>
        </w:rPr>
        <w:t xml:space="preserve">( Образец № </w:t>
      </w:r>
      <w:r w:rsidR="00AB0C49">
        <w:rPr>
          <w:rFonts w:ascii="Cambria" w:hAnsi="Cambria"/>
        </w:rPr>
        <w:t>8</w:t>
      </w:r>
      <w:r w:rsidR="00F76673" w:rsidRPr="00F76673">
        <w:rPr>
          <w:rFonts w:ascii="Cambria" w:hAnsi="Cambria"/>
        </w:rPr>
        <w:t>).</w:t>
      </w:r>
    </w:p>
    <w:p w14:paraId="16C1477C" w14:textId="5B0FD795" w:rsidR="00FE09E0" w:rsidRPr="00884DFA" w:rsidRDefault="00FE09E0" w:rsidP="00884DFA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</w:rPr>
      </w:pPr>
      <w:r w:rsidRPr="001F37D0">
        <w:rPr>
          <w:rFonts w:ascii="Cambria" w:hAnsi="Cambria"/>
          <w:b/>
        </w:rPr>
        <w:t>2.11.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Оторизационни</w:t>
      </w:r>
      <w:proofErr w:type="spellEnd"/>
      <w:r>
        <w:rPr>
          <w:rFonts w:ascii="Cambria" w:hAnsi="Cambria"/>
        </w:rPr>
        <w:t xml:space="preserve"> писма или всякакви други документи, които доказват че </w:t>
      </w:r>
      <w:proofErr w:type="spellStart"/>
      <w:r>
        <w:rPr>
          <w:rFonts w:ascii="Cambria" w:hAnsi="Cambria"/>
        </w:rPr>
        <w:t>учасника</w:t>
      </w:r>
      <w:proofErr w:type="spellEnd"/>
      <w:r>
        <w:rPr>
          <w:rFonts w:ascii="Cambria" w:hAnsi="Cambria"/>
        </w:rPr>
        <w:t xml:space="preserve"> има право да продава и </w:t>
      </w:r>
      <w:proofErr w:type="spellStart"/>
      <w:r>
        <w:rPr>
          <w:rFonts w:ascii="Cambria" w:hAnsi="Cambria"/>
        </w:rPr>
        <w:t>сервизира</w:t>
      </w:r>
      <w:proofErr w:type="spellEnd"/>
      <w:r>
        <w:rPr>
          <w:rFonts w:ascii="Cambria" w:hAnsi="Cambria"/>
        </w:rPr>
        <w:t xml:space="preserve"> предлаганите устройства;</w:t>
      </w:r>
    </w:p>
    <w:p w14:paraId="43D7E70D" w14:textId="418EE6EF" w:rsidR="00127CF6" w:rsidRPr="00405813" w:rsidRDefault="00405813" w:rsidP="001F7963">
      <w:pPr>
        <w:tabs>
          <w:tab w:val="left" w:pos="567"/>
        </w:tabs>
        <w:ind w:firstLine="851"/>
        <w:jc w:val="both"/>
        <w:rPr>
          <w:rFonts w:ascii="Cambria" w:hAnsi="Cambria"/>
        </w:rPr>
      </w:pPr>
      <w:r>
        <w:rPr>
          <w:rFonts w:ascii="Cambria" w:hAnsi="Cambria"/>
          <w:b/>
        </w:rPr>
        <w:t>2.1</w:t>
      </w:r>
      <w:r w:rsidR="001F37D0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. </w:t>
      </w:r>
      <w:r w:rsidR="00064AFB">
        <w:rPr>
          <w:rFonts w:ascii="Cambria" w:hAnsi="Cambria"/>
        </w:rPr>
        <w:t>Декларация за лични данни</w:t>
      </w:r>
      <w:r w:rsidRPr="00405813">
        <w:rPr>
          <w:rFonts w:ascii="Cambria" w:hAnsi="Cambria"/>
        </w:rPr>
        <w:t>.</w:t>
      </w:r>
      <w:r w:rsidR="00F76673" w:rsidRPr="00F76673">
        <w:t xml:space="preserve"> </w:t>
      </w:r>
      <w:r w:rsidR="00F76673" w:rsidRPr="00F76673">
        <w:rPr>
          <w:rFonts w:ascii="Cambria" w:hAnsi="Cambria"/>
        </w:rPr>
        <w:t>( Образец № 1</w:t>
      </w:r>
      <w:r w:rsidR="00F5159C">
        <w:rPr>
          <w:rFonts w:ascii="Cambria" w:hAnsi="Cambria"/>
        </w:rPr>
        <w:t>0</w:t>
      </w:r>
      <w:bookmarkStart w:id="19" w:name="_GoBack"/>
      <w:bookmarkEnd w:id="19"/>
      <w:r w:rsidR="00F76673" w:rsidRPr="00F76673">
        <w:rPr>
          <w:rFonts w:ascii="Cambria" w:hAnsi="Cambria"/>
        </w:rPr>
        <w:t>).</w:t>
      </w:r>
    </w:p>
    <w:p w14:paraId="37994811" w14:textId="2855A091" w:rsidR="00FF284F" w:rsidRPr="004E5353" w:rsidRDefault="00FF284F" w:rsidP="0086766F">
      <w:pPr>
        <w:ind w:firstLine="708"/>
        <w:rPr>
          <w:rFonts w:ascii="Cambria" w:eastAsiaTheme="minorHAnsi" w:hAnsi="Cambria"/>
          <w:color w:val="1F497D"/>
          <w:lang w:val="en-US" w:eastAsia="en-US"/>
        </w:rPr>
      </w:pPr>
      <w:r w:rsidRPr="00E073DA">
        <w:rPr>
          <w:rFonts w:ascii="Cambria" w:hAnsi="Cambria"/>
        </w:rPr>
        <w:t>Осигурен е пряк, пълен, неограничен и безплатен достъп до цялата документация на адрес</w:t>
      </w:r>
      <w:r w:rsidR="00611A37" w:rsidRPr="00E073DA">
        <w:rPr>
          <w:rFonts w:ascii="Cambria" w:hAnsi="Cambria"/>
        </w:rPr>
        <w:t xml:space="preserve">: </w:t>
      </w:r>
      <w:r w:rsidR="00952C23" w:rsidRPr="004E5353">
        <w:rPr>
          <w:rFonts w:ascii="Cambria" w:hAnsi="Cambria"/>
        </w:rPr>
        <w:t>https:</w:t>
      </w:r>
      <w:r w:rsidR="00634898" w:rsidRPr="00634898">
        <w:t xml:space="preserve"> </w:t>
      </w:r>
      <w:r w:rsidR="004E5353">
        <w:rPr>
          <w:rFonts w:ascii="Cambria" w:hAnsi="Cambria"/>
          <w:lang w:val="en-US"/>
        </w:rPr>
        <w:t>…………………………………….</w:t>
      </w:r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EA2CFFA" w14:textId="4416C7C0" w:rsidR="0086766F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</w:t>
      </w:r>
      <w:r w:rsidR="007B6489">
        <w:rPr>
          <w:rFonts w:asciiTheme="majorHAnsi" w:hAnsiTheme="majorHAnsi"/>
        </w:rPr>
        <w:t xml:space="preserve">гр. </w:t>
      </w:r>
      <w:r w:rsidR="00C63B53">
        <w:rPr>
          <w:rFonts w:asciiTheme="majorHAnsi" w:hAnsiTheme="majorHAnsi"/>
        </w:rPr>
        <w:t>София, ул.</w:t>
      </w:r>
      <w:r w:rsidR="00367EBF">
        <w:rPr>
          <w:rFonts w:asciiTheme="majorHAnsi" w:hAnsiTheme="majorHAnsi"/>
        </w:rPr>
        <w:t xml:space="preserve"> </w:t>
      </w:r>
      <w:r w:rsidR="00C63B53">
        <w:rPr>
          <w:rFonts w:asciiTheme="majorHAnsi" w:hAnsiTheme="majorHAnsi"/>
        </w:rPr>
        <w:t>“Александър Жендов: № 2, Министерство на външните работи, За регистратура.</w:t>
      </w:r>
    </w:p>
    <w:p w14:paraId="1F1D68E8" w14:textId="0746B538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0711913A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77777777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lastRenderedPageBreak/>
        <w:t xml:space="preserve">ВАЖНО! Не се приема оферта,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546E5B48" w14:textId="4ED8BAED" w:rsidR="00E51980" w:rsidRDefault="00E51980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B8801B1" w14:textId="77777777" w:rsidR="00062553" w:rsidRPr="00E073DA" w:rsidRDefault="00062553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43FD66D2" w:rsidR="000E6961" w:rsidRPr="0086766F" w:rsidRDefault="00831E98" w:rsidP="0086766F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</w:t>
      </w:r>
      <w:r w:rsidR="0086766F">
        <w:rPr>
          <w:rFonts w:ascii="Cambria" w:eastAsia="Times New Roman" w:hAnsi="Cambria"/>
          <w:bCs/>
          <w:iCs/>
          <w:lang w:eastAsia="en-US"/>
        </w:rPr>
        <w:t xml:space="preserve"> обществена поръчка час и дата на</w:t>
      </w:r>
      <w:r w:rsidR="0086766F" w:rsidRPr="0086766F">
        <w:rPr>
          <w:rFonts w:ascii="Cambria" w:hAnsi="Cambria"/>
        </w:rPr>
        <w:t xml:space="preserve"> </w:t>
      </w:r>
      <w:r w:rsidR="0086766F" w:rsidRPr="00E073DA">
        <w:rPr>
          <w:rFonts w:ascii="Cambria" w:hAnsi="Cambria"/>
        </w:rPr>
        <w:t xml:space="preserve">адрес: </w:t>
      </w:r>
      <w:proofErr w:type="spellStart"/>
      <w:r w:rsidR="007B6489">
        <w:rPr>
          <w:rFonts w:asciiTheme="majorHAnsi" w:hAnsiTheme="majorHAnsi"/>
        </w:rPr>
        <w:t>гр.</w:t>
      </w:r>
      <w:r w:rsidR="009C0E4C">
        <w:rPr>
          <w:rFonts w:asciiTheme="majorHAnsi" w:hAnsiTheme="majorHAnsi"/>
        </w:rPr>
        <w:t>София</w:t>
      </w:r>
      <w:proofErr w:type="spellEnd"/>
      <w:r w:rsidRPr="00E073DA">
        <w:rPr>
          <w:rFonts w:ascii="Cambria" w:eastAsia="Times New Roman" w:hAnsi="Cambria"/>
          <w:lang w:eastAsia="en-US"/>
        </w:rPr>
        <w:t>,</w:t>
      </w:r>
      <w:r w:rsidR="009C0E4C">
        <w:rPr>
          <w:rFonts w:ascii="Cambria" w:eastAsia="Times New Roman" w:hAnsi="Cambria"/>
          <w:lang w:eastAsia="en-US"/>
        </w:rPr>
        <w:t xml:space="preserve"> </w:t>
      </w:r>
      <w:proofErr w:type="spellStart"/>
      <w:r w:rsidR="009C0E4C">
        <w:rPr>
          <w:rFonts w:ascii="Cambria" w:eastAsia="Times New Roman" w:hAnsi="Cambria"/>
          <w:lang w:eastAsia="en-US"/>
        </w:rPr>
        <w:t>ул</w:t>
      </w:r>
      <w:proofErr w:type="spellEnd"/>
      <w:r w:rsidR="009C0E4C">
        <w:rPr>
          <w:rFonts w:ascii="Cambria" w:eastAsia="Times New Roman" w:hAnsi="Cambria"/>
          <w:lang w:eastAsia="en-US"/>
        </w:rPr>
        <w:t>.“Александър Жендов“ № 2, зала М22-24</w:t>
      </w:r>
      <w:r w:rsidRPr="00E073DA">
        <w:rPr>
          <w:rFonts w:ascii="Cambria" w:eastAsia="Times New Roman" w:hAnsi="Cambria"/>
          <w:lang w:eastAsia="en-US"/>
        </w:rPr>
        <w:t xml:space="preserve">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0512B708" w14:textId="716F4F2B" w:rsidR="001449FF" w:rsidRDefault="009E6688" w:rsidP="007A562A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8E5F5A9" w14:textId="2E305D32" w:rsidR="00DA3E48" w:rsidRDefault="00DA3E48" w:rsidP="00AE3351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10740B0D" w14:textId="77777777" w:rsidR="00062553" w:rsidRPr="00E073DA" w:rsidRDefault="00062553" w:rsidP="00AE3351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подбор. Документите се изискват и за подизпълнителите и третите лица, ако има такива.</w:t>
      </w:r>
    </w:p>
    <w:p w14:paraId="306B9213" w14:textId="73230446" w:rsidR="001449FF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733F1A">
        <w:rPr>
          <w:rFonts w:ascii="Cambria" w:hAnsi="Cambria"/>
          <w:b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2167F3A8" w14:textId="281ACD06" w:rsidR="00062553" w:rsidRDefault="00062553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27381953" w14:textId="77777777" w:rsidR="00062553" w:rsidRPr="00E073DA" w:rsidRDefault="00062553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FDBD273" w14:textId="5BB5DD35" w:rsidR="00DA3E48" w:rsidRDefault="00DA3E48" w:rsidP="008722EB">
      <w:pPr>
        <w:widowControl w:val="0"/>
        <w:tabs>
          <w:tab w:val="left" w:pos="851"/>
        </w:tabs>
        <w:suppressAutoHyphens/>
        <w:jc w:val="both"/>
        <w:rPr>
          <w:rFonts w:ascii="Cambria" w:hAnsi="Cambria"/>
          <w:highlight w:val="yellow"/>
        </w:rPr>
      </w:pPr>
    </w:p>
    <w:p w14:paraId="6AF42879" w14:textId="77777777" w:rsidR="00062553" w:rsidRPr="00E073DA" w:rsidRDefault="00062553" w:rsidP="008722EB">
      <w:pPr>
        <w:widowControl w:val="0"/>
        <w:tabs>
          <w:tab w:val="left" w:pos="851"/>
        </w:tabs>
        <w:suppressAutoHyphens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111D1969" w14:textId="01EB344F" w:rsidR="00DA3E48" w:rsidRPr="00E073DA" w:rsidRDefault="00DA3E48" w:rsidP="00C63B53">
      <w:pPr>
        <w:tabs>
          <w:tab w:val="left" w:pos="0"/>
          <w:tab w:val="left" w:pos="851"/>
        </w:tabs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15F2319F" w:rsidR="000E6961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07666C85" w14:textId="77777777" w:rsidR="00733F1A" w:rsidRPr="00E073DA" w:rsidRDefault="00733F1A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14C7B423" w14:textId="0DC1C15F" w:rsidR="008F5517" w:rsidRDefault="008F5517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5D2401D2" w14:textId="77777777" w:rsidR="00A2371A" w:rsidRPr="00E073DA" w:rsidRDefault="00A2371A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p w14:paraId="541C812B" w14:textId="50A1F017" w:rsidR="000E6961" w:rsidRPr="00B52E31" w:rsidRDefault="00B4395C" w:rsidP="00B52E3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64942C48" w14:textId="409B8E58" w:rsidR="000E6961" w:rsidRPr="00E073DA" w:rsidRDefault="00B52E31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4D3A5AAB" w:rsidR="000E6961" w:rsidRPr="00E073DA" w:rsidRDefault="00B52E31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3. Образец № 3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486DE45" w14:textId="2D2E35AF" w:rsidR="00405813" w:rsidRPr="00E073DA" w:rsidRDefault="00B52E31" w:rsidP="009C0E4C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9C0E4C">
        <w:rPr>
          <w:rFonts w:ascii="Cambria" w:hAnsi="Cambria"/>
          <w:b/>
        </w:rPr>
        <w:t>.</w:t>
      </w:r>
      <w:r w:rsidR="000E6961" w:rsidRPr="00E073DA">
        <w:rPr>
          <w:rFonts w:ascii="Cambria" w:hAnsi="Cambria"/>
          <w:b/>
        </w:rPr>
        <w:t xml:space="preserve"> Образец № </w:t>
      </w:r>
      <w:r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 xml:space="preserve">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 xml:space="preserve">Списък на изпълнените </w:t>
      </w:r>
      <w:r>
        <w:rPr>
          <w:rFonts w:ascii="Cambria" w:hAnsi="Cambria"/>
        </w:rPr>
        <w:t>доставки</w:t>
      </w:r>
      <w:r w:rsidR="00E6163D" w:rsidRPr="00E073DA">
        <w:rPr>
          <w:rFonts w:ascii="Cambria" w:hAnsi="Cambria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3C280E05" w:rsidR="000E6961" w:rsidRPr="00E073DA" w:rsidRDefault="00B52E31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5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656847E4" w:rsidR="000E6961" w:rsidRPr="00E073DA" w:rsidRDefault="00B52E31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 xml:space="preserve">Образец № </w:t>
      </w: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7A98B078" w:rsidR="000E6961" w:rsidRPr="00E073DA" w:rsidRDefault="00B52E31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518C9575" w14:textId="575E33A2" w:rsidR="005D6ED3" w:rsidRDefault="00B52E31" w:rsidP="00405813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  <w:spacing w:val="10"/>
          <w:lang w:eastAsia="en-US"/>
        </w:rPr>
        <w:t>8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</w:t>
      </w:r>
      <w:r w:rsidR="006E2AF2">
        <w:rPr>
          <w:rFonts w:ascii="Cambria" w:hAnsi="Cambria"/>
          <w:b/>
          <w:spacing w:val="10"/>
          <w:lang w:eastAsia="en-US"/>
        </w:rPr>
        <w:t>7-1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</w:t>
      </w:r>
      <w:r w:rsidR="00405813">
        <w:rPr>
          <w:rFonts w:ascii="Cambria" w:eastAsia="Times New Roman" w:hAnsi="Cambria"/>
          <w:lang w:eastAsia="en-US"/>
        </w:rPr>
        <w:t xml:space="preserve"> Закона за обществените поръчки</w:t>
      </w:r>
      <w:r w:rsidR="005D6ED3">
        <w:rPr>
          <w:rFonts w:ascii="Cambria" w:hAnsi="Cambria"/>
          <w:b/>
        </w:rPr>
        <w:t xml:space="preserve"> </w:t>
      </w:r>
    </w:p>
    <w:p w14:paraId="02407E61" w14:textId="3C40631F" w:rsidR="00B52E31" w:rsidRPr="00064AFB" w:rsidRDefault="00B52E31" w:rsidP="00B52E3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7F63DB">
        <w:rPr>
          <w:rFonts w:ascii="Cambria" w:hAnsi="Cambria"/>
          <w:b/>
        </w:rPr>
        <w:t xml:space="preserve">. </w:t>
      </w:r>
      <w:r>
        <w:rPr>
          <w:rFonts w:ascii="Cambria" w:eastAsia="Times New Roman" w:hAnsi="Cambria"/>
          <w:b/>
          <w:lang w:eastAsia="en-US"/>
        </w:rPr>
        <w:t xml:space="preserve">Образец № </w:t>
      </w:r>
      <w:r w:rsidR="000435FF">
        <w:rPr>
          <w:rFonts w:ascii="Cambria" w:eastAsia="Times New Roman" w:hAnsi="Cambria"/>
          <w:b/>
          <w:lang w:eastAsia="en-US"/>
        </w:rPr>
        <w:t>9</w:t>
      </w:r>
      <w:r w:rsidRPr="00E073DA">
        <w:rPr>
          <w:rFonts w:ascii="Cambria" w:eastAsia="Times New Roman" w:hAnsi="Cambria"/>
          <w:b/>
          <w:lang w:eastAsia="en-US"/>
        </w:rPr>
        <w:t xml:space="preserve"> – </w:t>
      </w:r>
      <w:r w:rsidRPr="00E073DA">
        <w:rPr>
          <w:rFonts w:ascii="Cambria" w:eastAsia="Times New Roman" w:hAnsi="Cambria"/>
          <w:lang w:eastAsia="en-US"/>
        </w:rPr>
        <w:t>Проект на договор.</w:t>
      </w:r>
    </w:p>
    <w:p w14:paraId="0A982639" w14:textId="3E1E52CA" w:rsidR="007F63DB" w:rsidRPr="000435FF" w:rsidRDefault="000435FF" w:rsidP="000435F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 w:rsidRPr="000435FF">
        <w:rPr>
          <w:rFonts w:ascii="Cambria" w:hAnsi="Cambria"/>
          <w:b/>
        </w:rPr>
        <w:t>10. Образец № 1</w:t>
      </w:r>
      <w:r>
        <w:rPr>
          <w:rFonts w:ascii="Cambria" w:hAnsi="Cambria"/>
          <w:b/>
        </w:rPr>
        <w:t>0</w:t>
      </w:r>
      <w:r w:rsidRPr="000435FF">
        <w:rPr>
          <w:rFonts w:ascii="Cambria" w:hAnsi="Cambria"/>
          <w:b/>
        </w:rPr>
        <w:t xml:space="preserve"> – </w:t>
      </w:r>
      <w:r w:rsidRPr="000435FF">
        <w:rPr>
          <w:rFonts w:ascii="Cambria" w:hAnsi="Cambria"/>
        </w:rPr>
        <w:t>Декларация за лични данни</w:t>
      </w:r>
    </w:p>
    <w:p w14:paraId="5D758BDA" w14:textId="2732F061" w:rsidR="00E154B2" w:rsidRPr="00064AFB" w:rsidRDefault="00405813" w:rsidP="000435FF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11. </w:t>
      </w:r>
      <w:r w:rsidR="006E2AF2">
        <w:rPr>
          <w:rFonts w:ascii="Cambria" w:eastAsia="Times New Roman" w:hAnsi="Cambria"/>
          <w:b/>
          <w:lang w:eastAsia="en-US"/>
        </w:rPr>
        <w:t>Образец № 8</w:t>
      </w:r>
      <w:r w:rsidR="000435FF">
        <w:rPr>
          <w:rFonts w:ascii="Cambria" w:eastAsia="Times New Roman" w:hAnsi="Cambria"/>
          <w:lang w:eastAsia="en-US"/>
        </w:rPr>
        <w:t xml:space="preserve"> – Декларация за внедрена система за управление;</w:t>
      </w:r>
    </w:p>
    <w:p w14:paraId="0EEBAAA7" w14:textId="01FE8E21" w:rsidR="00AE5D16" w:rsidRDefault="00AE5D16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3A914C25" w14:textId="25A4AC6E" w:rsidR="00062553" w:rsidRDefault="00062553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3977ADFC" w14:textId="3F5A74F6" w:rsidR="005E7CC5" w:rsidRDefault="005E7CC5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0C45E819" w14:textId="70E5BBAE" w:rsidR="005E7CC5" w:rsidRDefault="005E7CC5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385DEFAF" w14:textId="77777777" w:rsidR="005E7CC5" w:rsidRDefault="005E7CC5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eastAsia="Times New Roman" w:hAnsi="Cambria"/>
          <w:lang w:eastAsia="en-US"/>
        </w:rPr>
      </w:pPr>
    </w:p>
    <w:p w14:paraId="2E05C81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  <w:b/>
          <w:i/>
        </w:rPr>
      </w:pPr>
      <w:r w:rsidRPr="00661906">
        <w:rPr>
          <w:rFonts w:ascii="Cambria" w:eastAsia="Times New Roman" w:hAnsi="Cambria"/>
          <w:b/>
          <w:i/>
        </w:rPr>
        <w:lastRenderedPageBreak/>
        <w:t>Изготвил:</w:t>
      </w:r>
    </w:p>
    <w:p w14:paraId="2ED9D853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Антоанета Божикова</w:t>
      </w:r>
      <w:r w:rsidRPr="00661906">
        <w:rPr>
          <w:rFonts w:ascii="Cambria" w:eastAsia="Times New Roman" w:hAnsi="Cambria"/>
        </w:rPr>
        <w:t>,</w:t>
      </w:r>
    </w:p>
    <w:p w14:paraId="764CA3F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сектор „</w:t>
      </w:r>
      <w:r>
        <w:rPr>
          <w:rFonts w:ascii="Cambria" w:eastAsia="Times New Roman" w:hAnsi="Cambria"/>
        </w:rPr>
        <w:t>ДПО</w:t>
      </w:r>
      <w:r w:rsidRPr="00661906">
        <w:rPr>
          <w:rFonts w:ascii="Cambria" w:eastAsia="Times New Roman" w:hAnsi="Cambria"/>
        </w:rPr>
        <w:t xml:space="preserve">“, дирекция УС и МТО, дата: </w:t>
      </w:r>
    </w:p>
    <w:p w14:paraId="753A52CD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59878539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  <w:b/>
          <w:i/>
        </w:rPr>
      </w:pPr>
      <w:r w:rsidRPr="00661906">
        <w:rPr>
          <w:rFonts w:ascii="Cambria" w:eastAsia="Times New Roman" w:hAnsi="Cambria"/>
          <w:b/>
          <w:i/>
        </w:rPr>
        <w:t>Съгласували:</w:t>
      </w:r>
    </w:p>
    <w:p w14:paraId="3F0EB433" w14:textId="4E8A171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2A4BD2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223CFDC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proofErr w:type="spellStart"/>
      <w:r w:rsidRPr="00661906">
        <w:rPr>
          <w:rFonts w:ascii="Cambria" w:eastAsia="Times New Roman" w:hAnsi="Cambria"/>
        </w:rPr>
        <w:t>Атушка</w:t>
      </w:r>
      <w:proofErr w:type="spellEnd"/>
      <w:r w:rsidRPr="00661906">
        <w:rPr>
          <w:rFonts w:ascii="Cambria" w:eastAsia="Times New Roman" w:hAnsi="Cambria"/>
        </w:rPr>
        <w:t xml:space="preserve"> Маркова </w:t>
      </w:r>
      <w:r w:rsidRPr="00661906">
        <w:rPr>
          <w:rFonts w:ascii="Cambria" w:eastAsia="Times New Roman" w:hAnsi="Cambria"/>
        </w:rPr>
        <w:tab/>
      </w:r>
    </w:p>
    <w:p w14:paraId="22EA01C4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ОПМП, дирекция УСМТО, дата:</w:t>
      </w:r>
    </w:p>
    <w:p w14:paraId="065283B0" w14:textId="289E2C2E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5711A27F" w14:textId="77777777" w:rsidR="00AE5D16" w:rsidRDefault="00AE5D16" w:rsidP="00EF2198">
      <w:pPr>
        <w:widowControl w:val="0"/>
        <w:jc w:val="both"/>
        <w:rPr>
          <w:rFonts w:ascii="Cambria" w:eastAsia="Times New Roman" w:hAnsi="Cambria"/>
        </w:rPr>
      </w:pPr>
    </w:p>
    <w:p w14:paraId="53F3462B" w14:textId="1A512088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 xml:space="preserve">Мартин Банков: </w:t>
      </w:r>
    </w:p>
    <w:p w14:paraId="36D7B26B" w14:textId="77777777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>Директор на дирекция</w:t>
      </w:r>
    </w:p>
    <w:p w14:paraId="0BE481B3" w14:textId="77777777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>„Информационни и</w:t>
      </w:r>
    </w:p>
    <w:p w14:paraId="585066CC" w14:textId="6866DC6D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>комуникационни технологии“</w:t>
      </w:r>
      <w:r w:rsidRPr="00AE5D16">
        <w:t xml:space="preserve"> </w:t>
      </w:r>
      <w:r w:rsidRPr="00AE5D16">
        <w:rPr>
          <w:rFonts w:ascii="Cambria" w:eastAsia="Times New Roman" w:hAnsi="Cambria"/>
          <w:color w:val="000000" w:themeColor="text1"/>
        </w:rPr>
        <w:t>……………………., дата:</w:t>
      </w:r>
    </w:p>
    <w:p w14:paraId="0770EF1A" w14:textId="7F867932" w:rsidR="00EF2198" w:rsidRDefault="00EF2198" w:rsidP="00EF2198">
      <w:pPr>
        <w:widowControl w:val="0"/>
        <w:jc w:val="both"/>
        <w:rPr>
          <w:rFonts w:ascii="Cambria" w:eastAsia="Times New Roman" w:hAnsi="Cambria"/>
          <w:color w:val="000000" w:themeColor="text1"/>
        </w:rPr>
      </w:pPr>
    </w:p>
    <w:p w14:paraId="64E4625B" w14:textId="77777777" w:rsidR="00AE5D16" w:rsidRPr="00AE5D16" w:rsidRDefault="00AE5D16" w:rsidP="00EF2198">
      <w:pPr>
        <w:widowControl w:val="0"/>
        <w:jc w:val="both"/>
        <w:rPr>
          <w:rFonts w:ascii="Cambria" w:eastAsia="Times New Roman" w:hAnsi="Cambria"/>
          <w:color w:val="000000" w:themeColor="text1"/>
        </w:rPr>
      </w:pPr>
    </w:p>
    <w:p w14:paraId="2D5BE8E0" w14:textId="557EE0E4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 xml:space="preserve">Божидара </w:t>
      </w:r>
      <w:proofErr w:type="spellStart"/>
      <w:r w:rsidRPr="00AE5D16">
        <w:rPr>
          <w:rFonts w:ascii="Cambria" w:eastAsia="Times New Roman" w:hAnsi="Cambria"/>
          <w:color w:val="000000" w:themeColor="text1"/>
        </w:rPr>
        <w:t>Сърчаджиева</w:t>
      </w:r>
      <w:proofErr w:type="spellEnd"/>
      <w:r w:rsidRPr="00AE5D16">
        <w:rPr>
          <w:rFonts w:ascii="Cambria" w:eastAsia="Times New Roman" w:hAnsi="Cambria"/>
          <w:color w:val="000000" w:themeColor="text1"/>
        </w:rPr>
        <w:t xml:space="preserve"> </w:t>
      </w:r>
    </w:p>
    <w:p w14:paraId="3A019565" w14:textId="77777777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 xml:space="preserve">Директор на дирекция </w:t>
      </w:r>
    </w:p>
    <w:p w14:paraId="69CD0A1F" w14:textId="64636DF9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  <w:r w:rsidRPr="00AE5D16">
        <w:rPr>
          <w:rFonts w:ascii="Cambria" w:eastAsia="Times New Roman" w:hAnsi="Cambria"/>
          <w:color w:val="000000" w:themeColor="text1"/>
        </w:rPr>
        <w:t>„Консулски отношения“</w:t>
      </w:r>
      <w:r w:rsidRPr="00AE5D16">
        <w:rPr>
          <w:color w:val="000000" w:themeColor="text1"/>
        </w:rPr>
        <w:t xml:space="preserve"> </w:t>
      </w:r>
      <w:r w:rsidRPr="00AE5D16">
        <w:rPr>
          <w:rFonts w:ascii="Cambria" w:eastAsia="Times New Roman" w:hAnsi="Cambria"/>
          <w:color w:val="000000" w:themeColor="text1"/>
        </w:rPr>
        <w:t>……………………., дата:</w:t>
      </w:r>
    </w:p>
    <w:p w14:paraId="7A0A3D92" w14:textId="77777777" w:rsidR="00AE5D16" w:rsidRPr="00AE5D16" w:rsidRDefault="00AE5D16" w:rsidP="00AE5D16">
      <w:pPr>
        <w:widowControl w:val="0"/>
        <w:jc w:val="both"/>
        <w:rPr>
          <w:rFonts w:ascii="Cambria" w:eastAsia="Times New Roman" w:hAnsi="Cambria"/>
          <w:color w:val="000000" w:themeColor="text1"/>
        </w:rPr>
      </w:pPr>
    </w:p>
    <w:p w14:paraId="6979E975" w14:textId="5A93CE68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50F5DB72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Мария Иванова </w:t>
      </w:r>
      <w:r w:rsidRPr="00661906">
        <w:rPr>
          <w:rFonts w:ascii="Cambria" w:eastAsia="Times New Roman" w:hAnsi="Cambria"/>
        </w:rPr>
        <w:tab/>
      </w:r>
    </w:p>
    <w:p w14:paraId="02F07950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Главен експерт в отдел „Бюджет”, Дирекция БИФ, дата:</w:t>
      </w:r>
    </w:p>
    <w:p w14:paraId="5E6A9DD2" w14:textId="04FE1CDA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3A58787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B355E2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Анна Георгиева</w:t>
      </w:r>
    </w:p>
    <w:p w14:paraId="0968E47E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„Бюджет”, дирекция „Бюджет и финанси”, дата:</w:t>
      </w:r>
    </w:p>
    <w:p w14:paraId="18127AB6" w14:textId="204CFF9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44F60A83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17FA4FC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Искра </w:t>
      </w:r>
      <w:proofErr w:type="spellStart"/>
      <w:r w:rsidRPr="00661906">
        <w:rPr>
          <w:rFonts w:ascii="Cambria" w:eastAsia="Times New Roman" w:hAnsi="Cambria"/>
        </w:rPr>
        <w:t>Зоровска</w:t>
      </w:r>
      <w:proofErr w:type="spellEnd"/>
      <w:r w:rsidRPr="00661906">
        <w:rPr>
          <w:rFonts w:ascii="Cambria" w:eastAsia="Times New Roman" w:hAnsi="Cambria"/>
        </w:rPr>
        <w:t xml:space="preserve"> </w:t>
      </w:r>
    </w:p>
    <w:p w14:paraId="78D3D0A5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началник отдел „Счетоводство”, дирекция „Бюджет и финанси”, дата</w:t>
      </w:r>
    </w:p>
    <w:p w14:paraId="70F84918" w14:textId="2DFE2872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0A6263A0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00190101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Жасмина Ананиева </w:t>
      </w:r>
    </w:p>
    <w:p w14:paraId="5A482A66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директор на дирекция „Бюджет и финанси”, дата:</w:t>
      </w:r>
    </w:p>
    <w:p w14:paraId="1D8F7D40" w14:textId="7B94AC2A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119DCC8F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24C4BA79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 xml:space="preserve">Нели </w:t>
      </w:r>
      <w:proofErr w:type="spellStart"/>
      <w:r w:rsidRPr="00661906">
        <w:rPr>
          <w:rFonts w:ascii="Cambria" w:eastAsia="Times New Roman" w:hAnsi="Cambria"/>
        </w:rPr>
        <w:t>Арбалиева</w:t>
      </w:r>
      <w:proofErr w:type="spellEnd"/>
      <w:r w:rsidRPr="00661906">
        <w:rPr>
          <w:rFonts w:ascii="Cambria" w:eastAsia="Times New Roman" w:hAnsi="Cambria"/>
        </w:rPr>
        <w:t xml:space="preserve"> </w:t>
      </w:r>
    </w:p>
    <w:p w14:paraId="2A326C9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 w:rsidRPr="00661906">
        <w:rPr>
          <w:rFonts w:ascii="Cambria" w:eastAsia="Times New Roman" w:hAnsi="Cambria"/>
        </w:rPr>
        <w:t>финансов контрольор, дата:</w:t>
      </w:r>
    </w:p>
    <w:p w14:paraId="6B7D3612" w14:textId="77777777" w:rsidR="00EF2198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3D90407B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</w:p>
    <w:p w14:paraId="620696E8" w14:textId="77777777" w:rsidR="00EF2198" w:rsidRPr="00661906" w:rsidRDefault="00EF2198" w:rsidP="00EF2198">
      <w:pPr>
        <w:widowControl w:val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………………………………………………………………………….</w:t>
      </w:r>
    </w:p>
    <w:p w14:paraId="31D83586" w14:textId="77777777" w:rsidR="00EF2198" w:rsidRPr="00783A0B" w:rsidRDefault="00EF2198" w:rsidP="00EF2198">
      <w:pPr>
        <w:rPr>
          <w:rFonts w:ascii="Cambria" w:hAnsi="Cambria"/>
        </w:rPr>
      </w:pPr>
      <w:r w:rsidRPr="00783A0B">
        <w:rPr>
          <w:rFonts w:ascii="Cambria" w:hAnsi="Cambria"/>
        </w:rPr>
        <w:t>Предварителен контрол</w:t>
      </w:r>
    </w:p>
    <w:p w14:paraId="3E542191" w14:textId="458EB58E" w:rsidR="00EF2198" w:rsidRPr="00D14BE6" w:rsidRDefault="00EF2198" w:rsidP="00D14BE6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/>
        <w:jc w:val="both"/>
        <w:rPr>
          <w:rFonts w:ascii="Cambria" w:hAnsi="Cambria"/>
          <w:b/>
          <w:spacing w:val="10"/>
          <w:lang w:eastAsia="en-US"/>
        </w:rPr>
      </w:pPr>
    </w:p>
    <w:sectPr w:rsidR="00EF2198" w:rsidRPr="00D14BE6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85F92"/>
    <w:multiLevelType w:val="multilevel"/>
    <w:tmpl w:val="53A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2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4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31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5"/>
  </w:num>
  <w:num w:numId="10">
    <w:abstractNumId w:val="11"/>
  </w:num>
  <w:num w:numId="11">
    <w:abstractNumId w:val="15"/>
  </w:num>
  <w:num w:numId="12">
    <w:abstractNumId w:val="22"/>
  </w:num>
  <w:num w:numId="13">
    <w:abstractNumId w:val="28"/>
  </w:num>
  <w:num w:numId="14">
    <w:abstractNumId w:val="13"/>
  </w:num>
  <w:num w:numId="15">
    <w:abstractNumId w:val="20"/>
  </w:num>
  <w:num w:numId="16">
    <w:abstractNumId w:val="26"/>
  </w:num>
  <w:num w:numId="17">
    <w:abstractNumId w:val="32"/>
  </w:num>
  <w:num w:numId="18">
    <w:abstractNumId w:val="30"/>
  </w:num>
  <w:num w:numId="19">
    <w:abstractNumId w:val="29"/>
  </w:num>
  <w:num w:numId="20">
    <w:abstractNumId w:val="24"/>
  </w:num>
  <w:num w:numId="21">
    <w:abstractNumId w:val="27"/>
  </w:num>
  <w:num w:numId="22">
    <w:abstractNumId w:val="4"/>
  </w:num>
  <w:num w:numId="23">
    <w:abstractNumId w:val="9"/>
  </w:num>
  <w:num w:numId="24">
    <w:abstractNumId w:val="21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4"/>
  </w:num>
  <w:num w:numId="33">
    <w:abstractNumId w:val="19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0D8D"/>
    <w:rsid w:val="0003452C"/>
    <w:rsid w:val="00036795"/>
    <w:rsid w:val="0004052D"/>
    <w:rsid w:val="00042744"/>
    <w:rsid w:val="000435FF"/>
    <w:rsid w:val="00053870"/>
    <w:rsid w:val="00062553"/>
    <w:rsid w:val="0006455E"/>
    <w:rsid w:val="00064AFB"/>
    <w:rsid w:val="0006726E"/>
    <w:rsid w:val="00077983"/>
    <w:rsid w:val="00077F84"/>
    <w:rsid w:val="000863C3"/>
    <w:rsid w:val="000B3642"/>
    <w:rsid w:val="000B7B70"/>
    <w:rsid w:val="000C58F6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27CF6"/>
    <w:rsid w:val="00133F8B"/>
    <w:rsid w:val="001449FF"/>
    <w:rsid w:val="00154CE3"/>
    <w:rsid w:val="001606B0"/>
    <w:rsid w:val="001707F3"/>
    <w:rsid w:val="00186670"/>
    <w:rsid w:val="001965E4"/>
    <w:rsid w:val="001A0612"/>
    <w:rsid w:val="001B0EDF"/>
    <w:rsid w:val="001B39D6"/>
    <w:rsid w:val="001C0C24"/>
    <w:rsid w:val="001D5392"/>
    <w:rsid w:val="001E759E"/>
    <w:rsid w:val="001F091D"/>
    <w:rsid w:val="001F37D0"/>
    <w:rsid w:val="001F7963"/>
    <w:rsid w:val="0020042C"/>
    <w:rsid w:val="00203682"/>
    <w:rsid w:val="00223453"/>
    <w:rsid w:val="00225D8C"/>
    <w:rsid w:val="00232FEA"/>
    <w:rsid w:val="00233625"/>
    <w:rsid w:val="0024062B"/>
    <w:rsid w:val="00240E23"/>
    <w:rsid w:val="002422B3"/>
    <w:rsid w:val="0025327B"/>
    <w:rsid w:val="002674EF"/>
    <w:rsid w:val="002834C7"/>
    <w:rsid w:val="00291B74"/>
    <w:rsid w:val="002A0DA4"/>
    <w:rsid w:val="002A35DB"/>
    <w:rsid w:val="002D4B4E"/>
    <w:rsid w:val="002E1BB5"/>
    <w:rsid w:val="002E6200"/>
    <w:rsid w:val="00302FD0"/>
    <w:rsid w:val="003400AC"/>
    <w:rsid w:val="00340966"/>
    <w:rsid w:val="003431FD"/>
    <w:rsid w:val="00356A9E"/>
    <w:rsid w:val="00367EBF"/>
    <w:rsid w:val="00367EFD"/>
    <w:rsid w:val="00371ADD"/>
    <w:rsid w:val="00372031"/>
    <w:rsid w:val="00375E25"/>
    <w:rsid w:val="00396AD9"/>
    <w:rsid w:val="003B08D8"/>
    <w:rsid w:val="003B6895"/>
    <w:rsid w:val="003B74EC"/>
    <w:rsid w:val="003C46FC"/>
    <w:rsid w:val="003F4D08"/>
    <w:rsid w:val="003F7102"/>
    <w:rsid w:val="004041EA"/>
    <w:rsid w:val="00405813"/>
    <w:rsid w:val="00421120"/>
    <w:rsid w:val="0042571F"/>
    <w:rsid w:val="004261B7"/>
    <w:rsid w:val="00435F61"/>
    <w:rsid w:val="004361F2"/>
    <w:rsid w:val="00437235"/>
    <w:rsid w:val="004478BF"/>
    <w:rsid w:val="00462EAC"/>
    <w:rsid w:val="004905F1"/>
    <w:rsid w:val="004A0257"/>
    <w:rsid w:val="004A732D"/>
    <w:rsid w:val="004A78C0"/>
    <w:rsid w:val="004B2C72"/>
    <w:rsid w:val="004B4732"/>
    <w:rsid w:val="004D7302"/>
    <w:rsid w:val="004E5353"/>
    <w:rsid w:val="00510A22"/>
    <w:rsid w:val="00522318"/>
    <w:rsid w:val="00542F73"/>
    <w:rsid w:val="0056431E"/>
    <w:rsid w:val="005649F3"/>
    <w:rsid w:val="00586049"/>
    <w:rsid w:val="005B5E97"/>
    <w:rsid w:val="005C08D1"/>
    <w:rsid w:val="005D6ED3"/>
    <w:rsid w:val="005D7AE0"/>
    <w:rsid w:val="005E0873"/>
    <w:rsid w:val="005E351F"/>
    <w:rsid w:val="005E66B5"/>
    <w:rsid w:val="005E7CC5"/>
    <w:rsid w:val="005F28DA"/>
    <w:rsid w:val="005F4582"/>
    <w:rsid w:val="00611A37"/>
    <w:rsid w:val="00611BB7"/>
    <w:rsid w:val="006148E8"/>
    <w:rsid w:val="006161DA"/>
    <w:rsid w:val="006207AE"/>
    <w:rsid w:val="00622B5E"/>
    <w:rsid w:val="00633D4D"/>
    <w:rsid w:val="00634898"/>
    <w:rsid w:val="00650133"/>
    <w:rsid w:val="00655B22"/>
    <w:rsid w:val="00655D85"/>
    <w:rsid w:val="00662020"/>
    <w:rsid w:val="00671207"/>
    <w:rsid w:val="00680E27"/>
    <w:rsid w:val="006826E2"/>
    <w:rsid w:val="00691E79"/>
    <w:rsid w:val="006A38D8"/>
    <w:rsid w:val="006C0DDD"/>
    <w:rsid w:val="006C3447"/>
    <w:rsid w:val="006C37CF"/>
    <w:rsid w:val="006C3EDD"/>
    <w:rsid w:val="006C4E52"/>
    <w:rsid w:val="006D0358"/>
    <w:rsid w:val="006D4097"/>
    <w:rsid w:val="006E2AF2"/>
    <w:rsid w:val="006F0630"/>
    <w:rsid w:val="006F322E"/>
    <w:rsid w:val="006F5165"/>
    <w:rsid w:val="007070E7"/>
    <w:rsid w:val="00721BEF"/>
    <w:rsid w:val="00730CD4"/>
    <w:rsid w:val="00733F1A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A562A"/>
    <w:rsid w:val="007B60D6"/>
    <w:rsid w:val="007B6489"/>
    <w:rsid w:val="007C354F"/>
    <w:rsid w:val="007C6814"/>
    <w:rsid w:val="007D4075"/>
    <w:rsid w:val="007E513A"/>
    <w:rsid w:val="007F3412"/>
    <w:rsid w:val="007F63DB"/>
    <w:rsid w:val="00802E55"/>
    <w:rsid w:val="00804C98"/>
    <w:rsid w:val="0083059D"/>
    <w:rsid w:val="00831E98"/>
    <w:rsid w:val="0083270D"/>
    <w:rsid w:val="0083323F"/>
    <w:rsid w:val="008335BA"/>
    <w:rsid w:val="00850E64"/>
    <w:rsid w:val="0086014C"/>
    <w:rsid w:val="0086766F"/>
    <w:rsid w:val="008722EB"/>
    <w:rsid w:val="00875A11"/>
    <w:rsid w:val="00884DFA"/>
    <w:rsid w:val="00895F9B"/>
    <w:rsid w:val="008C45DA"/>
    <w:rsid w:val="008D1426"/>
    <w:rsid w:val="008D5C4B"/>
    <w:rsid w:val="008E5714"/>
    <w:rsid w:val="008F2F2B"/>
    <w:rsid w:val="008F5517"/>
    <w:rsid w:val="008F6FB8"/>
    <w:rsid w:val="00913C74"/>
    <w:rsid w:val="00922D5A"/>
    <w:rsid w:val="00923FC2"/>
    <w:rsid w:val="0094679A"/>
    <w:rsid w:val="00952C23"/>
    <w:rsid w:val="00954502"/>
    <w:rsid w:val="00973F59"/>
    <w:rsid w:val="009773D6"/>
    <w:rsid w:val="00984083"/>
    <w:rsid w:val="009A4524"/>
    <w:rsid w:val="009A5A72"/>
    <w:rsid w:val="009B714D"/>
    <w:rsid w:val="009B78CB"/>
    <w:rsid w:val="009C0E4C"/>
    <w:rsid w:val="009C549B"/>
    <w:rsid w:val="009E6688"/>
    <w:rsid w:val="009F4D4A"/>
    <w:rsid w:val="00A00EBD"/>
    <w:rsid w:val="00A02AB3"/>
    <w:rsid w:val="00A048D4"/>
    <w:rsid w:val="00A156A0"/>
    <w:rsid w:val="00A2371A"/>
    <w:rsid w:val="00A25EEE"/>
    <w:rsid w:val="00A329E9"/>
    <w:rsid w:val="00A351C1"/>
    <w:rsid w:val="00A36A45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B0390"/>
    <w:rsid w:val="00AB0C49"/>
    <w:rsid w:val="00AD6AEA"/>
    <w:rsid w:val="00AE3351"/>
    <w:rsid w:val="00AE5D16"/>
    <w:rsid w:val="00AF5C15"/>
    <w:rsid w:val="00B00CFC"/>
    <w:rsid w:val="00B12D8B"/>
    <w:rsid w:val="00B2368B"/>
    <w:rsid w:val="00B25ED0"/>
    <w:rsid w:val="00B34398"/>
    <w:rsid w:val="00B34D47"/>
    <w:rsid w:val="00B42984"/>
    <w:rsid w:val="00B4395C"/>
    <w:rsid w:val="00B46251"/>
    <w:rsid w:val="00B471FB"/>
    <w:rsid w:val="00B52E31"/>
    <w:rsid w:val="00B74A6E"/>
    <w:rsid w:val="00B74BC5"/>
    <w:rsid w:val="00B803EE"/>
    <w:rsid w:val="00B86CBA"/>
    <w:rsid w:val="00BA4326"/>
    <w:rsid w:val="00BB6E53"/>
    <w:rsid w:val="00BF4D11"/>
    <w:rsid w:val="00C01345"/>
    <w:rsid w:val="00C11A56"/>
    <w:rsid w:val="00C267F9"/>
    <w:rsid w:val="00C423FE"/>
    <w:rsid w:val="00C476FE"/>
    <w:rsid w:val="00C47F19"/>
    <w:rsid w:val="00C52344"/>
    <w:rsid w:val="00C5797A"/>
    <w:rsid w:val="00C63B53"/>
    <w:rsid w:val="00C65BE7"/>
    <w:rsid w:val="00C668B5"/>
    <w:rsid w:val="00C76B83"/>
    <w:rsid w:val="00C80C8C"/>
    <w:rsid w:val="00C827D7"/>
    <w:rsid w:val="00C85513"/>
    <w:rsid w:val="00C8600D"/>
    <w:rsid w:val="00CA0C30"/>
    <w:rsid w:val="00CA1200"/>
    <w:rsid w:val="00CB06BE"/>
    <w:rsid w:val="00CB5FB3"/>
    <w:rsid w:val="00CB6B3F"/>
    <w:rsid w:val="00CD2527"/>
    <w:rsid w:val="00CD4518"/>
    <w:rsid w:val="00CD5A30"/>
    <w:rsid w:val="00CD6B9C"/>
    <w:rsid w:val="00CE6105"/>
    <w:rsid w:val="00CF20D8"/>
    <w:rsid w:val="00CF28DF"/>
    <w:rsid w:val="00CF3FD6"/>
    <w:rsid w:val="00CF5165"/>
    <w:rsid w:val="00D07AEA"/>
    <w:rsid w:val="00D14048"/>
    <w:rsid w:val="00D14BE6"/>
    <w:rsid w:val="00D20386"/>
    <w:rsid w:val="00D424AC"/>
    <w:rsid w:val="00D636BC"/>
    <w:rsid w:val="00D71BE3"/>
    <w:rsid w:val="00D76A11"/>
    <w:rsid w:val="00D8629A"/>
    <w:rsid w:val="00D87139"/>
    <w:rsid w:val="00D94C0B"/>
    <w:rsid w:val="00D95AA2"/>
    <w:rsid w:val="00DA3E48"/>
    <w:rsid w:val="00DB6E95"/>
    <w:rsid w:val="00DC3CCF"/>
    <w:rsid w:val="00DD20A5"/>
    <w:rsid w:val="00DD3AE8"/>
    <w:rsid w:val="00DD5989"/>
    <w:rsid w:val="00DE427B"/>
    <w:rsid w:val="00DF7870"/>
    <w:rsid w:val="00E0461B"/>
    <w:rsid w:val="00E05038"/>
    <w:rsid w:val="00E06DC1"/>
    <w:rsid w:val="00E073DA"/>
    <w:rsid w:val="00E10CD5"/>
    <w:rsid w:val="00E154B2"/>
    <w:rsid w:val="00E25C46"/>
    <w:rsid w:val="00E30677"/>
    <w:rsid w:val="00E350C1"/>
    <w:rsid w:val="00E366BB"/>
    <w:rsid w:val="00E41A73"/>
    <w:rsid w:val="00E4677E"/>
    <w:rsid w:val="00E47F49"/>
    <w:rsid w:val="00E51980"/>
    <w:rsid w:val="00E53125"/>
    <w:rsid w:val="00E6163D"/>
    <w:rsid w:val="00E71918"/>
    <w:rsid w:val="00E8560D"/>
    <w:rsid w:val="00E90F4F"/>
    <w:rsid w:val="00EA5135"/>
    <w:rsid w:val="00EA7955"/>
    <w:rsid w:val="00EC350C"/>
    <w:rsid w:val="00EC6E47"/>
    <w:rsid w:val="00ED3858"/>
    <w:rsid w:val="00ED601B"/>
    <w:rsid w:val="00ED6B45"/>
    <w:rsid w:val="00EE161C"/>
    <w:rsid w:val="00EE3109"/>
    <w:rsid w:val="00EF0D00"/>
    <w:rsid w:val="00EF2198"/>
    <w:rsid w:val="00EF3463"/>
    <w:rsid w:val="00EF62B9"/>
    <w:rsid w:val="00F001D3"/>
    <w:rsid w:val="00F05DE9"/>
    <w:rsid w:val="00F109B6"/>
    <w:rsid w:val="00F23151"/>
    <w:rsid w:val="00F24FCB"/>
    <w:rsid w:val="00F36D1E"/>
    <w:rsid w:val="00F50F1B"/>
    <w:rsid w:val="00F5159C"/>
    <w:rsid w:val="00F55423"/>
    <w:rsid w:val="00F579D1"/>
    <w:rsid w:val="00F57AFC"/>
    <w:rsid w:val="00F61950"/>
    <w:rsid w:val="00F72EA1"/>
    <w:rsid w:val="00F7546D"/>
    <w:rsid w:val="00F76673"/>
    <w:rsid w:val="00F94FE3"/>
    <w:rsid w:val="00FB276A"/>
    <w:rsid w:val="00FC00D9"/>
    <w:rsid w:val="00FC3F66"/>
    <w:rsid w:val="00FC706B"/>
    <w:rsid w:val="00FD376E"/>
    <w:rsid w:val="00FE09E0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character" w:customStyle="1" w:styleId="FontStyle154">
    <w:name w:val="Font Style154"/>
    <w:basedOn w:val="DefaultParagraphFont"/>
    <w:uiPriority w:val="99"/>
    <w:rsid w:val="00884DF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5004-1FD6-4D8F-969B-8D699121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Antoaneta Bozhikova</cp:lastModifiedBy>
  <cp:revision>72</cp:revision>
  <cp:lastPrinted>2019-11-25T11:54:00Z</cp:lastPrinted>
  <dcterms:created xsi:type="dcterms:W3CDTF">2019-10-24T09:15:00Z</dcterms:created>
  <dcterms:modified xsi:type="dcterms:W3CDTF">2019-12-12T14:34:00Z</dcterms:modified>
</cp:coreProperties>
</file>